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D2F4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D2F4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D2F46">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6287E70F" w14:textId="77777777" w:rsidR="00DD2F46" w:rsidRPr="00B57B36" w:rsidRDefault="00DD2F46" w:rsidP="00DD2F46">
      <w:pPr>
        <w:pStyle w:val="CETTitle"/>
      </w:pPr>
      <w:r>
        <w:t xml:space="preserve">YAM-BASED VODKA: INNOVATIVE DISTILLATION FROM </w:t>
      </w:r>
      <w:r w:rsidRPr="63990797">
        <w:rPr>
          <w:i/>
          <w:iCs/>
        </w:rPr>
        <w:t>DIOSCOREA BULBIFERA</w:t>
      </w:r>
      <w:r>
        <w:t xml:space="preserve"> – PROCESS AND CHARACTERIZATION</w:t>
      </w:r>
    </w:p>
    <w:p w14:paraId="12B81C6B" w14:textId="77777777" w:rsidR="00DD2F46" w:rsidRPr="00A70A99" w:rsidRDefault="00DD2F46" w:rsidP="00DD2F46">
      <w:pPr>
        <w:pStyle w:val="CETAuthors"/>
        <w:rPr>
          <w:lang w:val="it-IT"/>
        </w:rPr>
      </w:pPr>
      <w:r w:rsidRPr="00A70A99">
        <w:rPr>
          <w:lang w:val="it-IT"/>
        </w:rPr>
        <w:t>Marco Mason</w:t>
      </w:r>
      <w:r w:rsidRPr="00A70A99">
        <w:rPr>
          <w:vertAlign w:val="superscript"/>
          <w:lang w:val="it-IT"/>
        </w:rPr>
        <w:t>a</w:t>
      </w:r>
      <w:r w:rsidRPr="00A70A99">
        <w:rPr>
          <w:lang w:val="it-IT"/>
        </w:rPr>
        <w:t>*, Susanna Buratti</w:t>
      </w:r>
      <w:r w:rsidRPr="00A70A99">
        <w:rPr>
          <w:vertAlign w:val="superscript"/>
          <w:lang w:val="it-IT"/>
        </w:rPr>
        <w:t>b</w:t>
      </w:r>
      <w:r w:rsidRPr="00A70A99">
        <w:rPr>
          <w:lang w:val="it-IT"/>
        </w:rPr>
        <w:t>, Simona Benedetti</w:t>
      </w:r>
      <w:r w:rsidRPr="00A70A99">
        <w:rPr>
          <w:vertAlign w:val="superscript"/>
          <w:lang w:val="it-IT"/>
        </w:rPr>
        <w:t>b</w:t>
      </w:r>
      <w:r w:rsidRPr="00A70A99">
        <w:rPr>
          <w:lang w:val="it-IT"/>
        </w:rPr>
        <w:t>, Martha Cuenca Quicazán</w:t>
      </w:r>
      <w:r w:rsidRPr="00A70A99">
        <w:rPr>
          <w:vertAlign w:val="superscript"/>
          <w:lang w:val="it-IT"/>
        </w:rPr>
        <w:t>c</w:t>
      </w:r>
      <w:r w:rsidRPr="00A70A99">
        <w:rPr>
          <w:lang w:val="it-IT"/>
        </w:rPr>
        <w:t xml:space="preserve">   </w:t>
      </w:r>
    </w:p>
    <w:p w14:paraId="3C26F2EA" w14:textId="77777777" w:rsidR="00DD2F46" w:rsidRPr="00B57B36" w:rsidRDefault="00DD2F46" w:rsidP="00DD2F46">
      <w:pPr>
        <w:pStyle w:val="CETAddress"/>
      </w:pPr>
      <w:r w:rsidRPr="63990797">
        <w:rPr>
          <w:vertAlign w:val="superscript"/>
        </w:rPr>
        <w:t xml:space="preserve">a </w:t>
      </w:r>
      <w:r>
        <w:t>School of Basic Sciences, Technology and Engineering (ECBTI), National Open and Distance University (UNAD), Calle 14 Sur # 14 – 23, Bogotá, Colombia</w:t>
      </w:r>
    </w:p>
    <w:p w14:paraId="3D41BDC5" w14:textId="77777777" w:rsidR="00DD2F46" w:rsidRPr="00B57B36" w:rsidRDefault="00DD2F46" w:rsidP="00DD2F46">
      <w:pPr>
        <w:pStyle w:val="CETAddress"/>
      </w:pPr>
      <w:r w:rsidRPr="63990797">
        <w:rPr>
          <w:vertAlign w:val="superscript"/>
        </w:rPr>
        <w:t xml:space="preserve">b </w:t>
      </w:r>
      <w:r>
        <w:t xml:space="preserve">Department of Food, Nutrition and Environmental Sciences, University of Milan, Via Mangiagalli 25, 21033, Milan, Italy </w:t>
      </w:r>
    </w:p>
    <w:p w14:paraId="1E1A0257" w14:textId="77777777" w:rsidR="00DD2F46" w:rsidRDefault="00DD2F46" w:rsidP="00DD2F46">
      <w:pPr>
        <w:pStyle w:val="CETAddress"/>
      </w:pPr>
      <w:r w:rsidRPr="63990797">
        <w:rPr>
          <w:vertAlign w:val="superscript"/>
        </w:rPr>
        <w:t>c</w:t>
      </w:r>
      <w:r>
        <w:t xml:space="preserve"> Chemical Engineering Program, University of Cartagena, Av. del Consulado Calle 30 No 48B-152, Piedra de Bolívar Campus, Cartagena, Colombia </w:t>
      </w:r>
    </w:p>
    <w:p w14:paraId="66D879ED" w14:textId="77777777" w:rsidR="00DD2F46" w:rsidRPr="00B57B36" w:rsidRDefault="00DD2F46" w:rsidP="00DD2F46">
      <w:pPr>
        <w:pStyle w:val="CETemail"/>
      </w:pPr>
      <w:r>
        <w:t xml:space="preserve"> marco.maso83@gmail.com  </w:t>
      </w:r>
    </w:p>
    <w:p w14:paraId="38F76186" w14:textId="07ACC480" w:rsidR="006A6DE5" w:rsidRDefault="00D1351D" w:rsidP="00D1351D">
      <w:pPr>
        <w:pStyle w:val="CETnumberingbullets"/>
        <w:numPr>
          <w:ilvl w:val="0"/>
          <w:numId w:val="0"/>
        </w:numPr>
        <w:jc w:val="both"/>
      </w:pPr>
      <w:r>
        <w:t xml:space="preserve">Yam (Dioscorea spp.) is an emblematic tuber of the Colombian Caribbean region, historically linked to the arrival of enslaved people on the Caribbean coast. Colombia stands out worldwide for its technological advances in yam cultivation, ranking among the countries with the best yield per hectare, 90% of the national production comes from this region. However, the high perishability, elevated temperatures, lack of transportation infrastructure, and high transportation costs increase losses and reduce profitability. Moreover, the overproduction of tubers has impoverished both farmers and consumers, affecting its consumption in the local diet. In several cultures, local foods such as wheat, potatoes, or sugarcane are used to produce distilled alcoholic beverages. This study presents results on the use of yam as a raw material for a distilled beverage like vodka, which could increase its value. To achieve this, raw yam flour, produced by women from the Afro Yam Gastronomic Association of San Cayetano (Bolívar, Colombia), was hydrolysed, and the mash was fermented at 23°C with two commercial strains of Saccharomyces cerevisiae. After fermentation, a simple batch distillation was carried out in a copper and glass still. Temperature, pH, Brix degrees, and methanol and ethanol contents were evaluated. A sensory analysis using an electronic tongue showed that this alcoholic beverage could be a viable alternative to add value to yam and generate income for the rural community.   </w:t>
      </w:r>
    </w:p>
    <w:p w14:paraId="476B2F2E" w14:textId="52B36035" w:rsidR="00600535" w:rsidRDefault="00600535" w:rsidP="00D1351D">
      <w:pPr>
        <w:pStyle w:val="CETHeading1"/>
        <w:jc w:val="both"/>
        <w:rPr>
          <w:lang w:val="en-GB"/>
        </w:rPr>
      </w:pPr>
      <w:r w:rsidRPr="00B57B36">
        <w:rPr>
          <w:lang w:val="en-GB"/>
        </w:rPr>
        <w:t>Introduction</w:t>
      </w:r>
    </w:p>
    <w:p w14:paraId="1BEB7871" w14:textId="70885973" w:rsidR="004444A6" w:rsidRDefault="009D6FF0" w:rsidP="004444A6">
      <w:pPr>
        <w:pStyle w:val="CETBodytext"/>
        <w:rPr>
          <w:b/>
        </w:rPr>
      </w:pPr>
      <w:r w:rsidRPr="009D6FF0">
        <w:t>Yam (Dioscorea spp.), a staple crop of significant cultural importance in the Colombian Caribbean, is traditionally consumed in various forms, primarily boiled, fried, or mashed. While its historical connection to Afro-descendant communities through the transatlantic slave trade is undeniable, this study focuses on exploring innovative processing methods to enhance its economic value and contribute to sustainable development in rural areas</w:t>
      </w:r>
      <w:r w:rsidR="006B1C5E">
        <w:t xml:space="preserve"> </w:t>
      </w:r>
      <w:r w:rsidR="006B1C5E">
        <w:fldChar w:fldCharType="begin" w:fldLock="1"/>
      </w:r>
      <w:r w:rsidR="00DC5845">
        <w:instrText>ADDIN CSL_CITATION {"citationItems":[{"id":"ITEM-1","itemData":{"ISBN":"9789589953600","abstract":"1. ed. Introducción -- Capítulo I. Ubicación geográfica -- Capítulo II. Prehistoria -- Capítulo III. El litoral Caribe durante la invasión española -- Capítulo IV. Fusión alimenticia durante los primeros años de conquista -- Capítulo V. El siglo XVI -- Capítulo VI. El aporte negro a la cocina del Caribe colombiano -- Capítulo VII. La colonia -- Capítulo VIII. El siglo XIX en el litoral Caribe -- Capítulo IX. El siglo XX -- Epílogo -- Apéndice de recetas de la costa Caribe colombiana.","author":[{"dropping-particle":"","family":"Morales Bedoya","given":"Enrique","non-dropping-particle":"","parse-names":false,"suffix":""}],"id":"ITEM-1","issued":{"date-parts":[["2010"]]},"page":"337","title":"Fogón Caribe : la historia de la gastronomía del Caribe colombiano","type":"article-journal"},"uris":["http://www.mendeley.com/documents/?uuid=4e8904d3-2284-45d6-8ec3-9e6c0fdadcd2"]}],"mendeley":{"formattedCitation":"(Morales Bedoya, 2010)","plainTextFormattedCitation":"(Morales Bedoya, 2010)","previouslyFormattedCitation":"(Morales Bedoya, 2010)"},"properties":{"noteIndex":0},"schema":"https://github.com/citation-style-language/schema/raw/master/csl-citation.json"}</w:instrText>
      </w:r>
      <w:r w:rsidR="006B1C5E">
        <w:fldChar w:fldCharType="separate"/>
      </w:r>
      <w:r w:rsidR="006B1C5E" w:rsidRPr="006B1C5E">
        <w:rPr>
          <w:noProof/>
        </w:rPr>
        <w:t>(Morales Bedoya, 2010)</w:t>
      </w:r>
      <w:r w:rsidR="006B1C5E">
        <w:fldChar w:fldCharType="end"/>
      </w:r>
      <w:r w:rsidRPr="009D6FF0">
        <w:t xml:space="preserve">. Current research highlights the potential of diverse starch-rich sources for alcoholic beverage production, including potatoes, cassava, and cereals </w:t>
      </w:r>
      <w:r w:rsidR="00DC5845">
        <w:fldChar w:fldCharType="begin" w:fldLock="1"/>
      </w:r>
      <w:r w:rsidR="00DC5845">
        <w:instrText>ADDIN CSL_CITATION {"citationItems":[{"id":"ITEM-1","itemData":{"author":[{"dropping-particle":"","family":"Jones","given":"R.","non-dropping-particle":"","parse-names":false,"suffix":""}],"container-title":"Biotechnology Letters","id":"ITEM-1","issue":"6","issued":{"date-parts":[["2018"]]},"page":"887-900","title":"Starch-based fermentation: A review of current practices","type":"article-journal","volume":"40"},"uris":["http://www.mendeley.com/documents/?uuid=a7377535-01d0-4e8e-b9fe-30fbd7abfa26"]},{"id":"ITEM-2","itemData":{"author":[{"dropping-particle":"","family":"Smith, K., &amp; Brown","given":"J.","non-dropping-particle":"","parse-names":false,"suffix":""}],"container-title":"Food chemistry","id":"ITEM-2","issued":{"date-parts":[["2020"]]},"title":"The potential of cassava as a substrate for alcoholic beverage production","type":"article-journal","volume":"310"},"uris":["http://www.mendeley.com/documents/?uuid=2c3b9b4c-3525-4415-9b82-cb7846b79d9b"]}],"mendeley":{"formattedCitation":"(Jones, 2018; Smith, K., &amp; Brown, 2020)","plainTextFormattedCitation":"(Jones, 2018; Smith, K., &amp; Brown, 2020)","previouslyFormattedCitation":"(Jones, 2018; Smith, K., &amp; Brown, 2020)"},"properties":{"noteIndex":0},"schema":"https://github.com/citation-style-language/schema/raw/master/csl-citation.json"}</w:instrText>
      </w:r>
      <w:r w:rsidR="00DC5845">
        <w:fldChar w:fldCharType="separate"/>
      </w:r>
      <w:r w:rsidR="00DC5845" w:rsidRPr="00DC5845">
        <w:rPr>
          <w:noProof/>
        </w:rPr>
        <w:t>(Jones, 2018; Smith, K., &amp; Brown, 2020)</w:t>
      </w:r>
      <w:r w:rsidR="00DC5845">
        <w:fldChar w:fldCharType="end"/>
      </w:r>
      <w:r w:rsidR="003E3C9B">
        <w:t xml:space="preserve">, this </w:t>
      </w:r>
      <w:r w:rsidR="00925842">
        <w:t xml:space="preserve">raw material </w:t>
      </w:r>
      <w:r w:rsidR="0094410B">
        <w:t xml:space="preserve">is an </w:t>
      </w:r>
      <w:r w:rsidR="009A2228">
        <w:t>alternately from the</w:t>
      </w:r>
      <w:r w:rsidR="00BD118B">
        <w:t xml:space="preserve"> sugar cane</w:t>
      </w:r>
      <w:r w:rsidR="009A2228">
        <w:t xml:space="preserve"> used for the production of</w:t>
      </w:r>
      <w:r w:rsidR="00925842">
        <w:t xml:space="preserve"> the typical Colombian distillate </w:t>
      </w:r>
      <w:r w:rsidR="009A2228">
        <w:t>called “aguardiente”.</w:t>
      </w:r>
      <w:r w:rsidRPr="009D6FF0">
        <w:t xml:space="preserve"> However, the application of yam as a base for distilled spirits, particularly in the context of fostering local economic development, remains relatively unexplored. Existing technologies for starch hydrolysis and fermentation provide a foundation for this investigation</w:t>
      </w:r>
      <w:r w:rsidR="00DC5845">
        <w:t xml:space="preserve"> </w:t>
      </w:r>
      <w:r w:rsidR="00DC5845">
        <w:fldChar w:fldCharType="begin" w:fldLock="1"/>
      </w:r>
      <w:r w:rsidR="001311D8">
        <w:instrText>ADDIN CSL_CITATION {"citationItems":[{"id":"ITEM-1","itemData":{"author":[{"dropping-particle":"","family":"Garcia, L., Rodriguez, M., &amp; Perez","given":"A.","non-dropping-particle":"","parse-names":false,"suffix":""}],"container-title":"JOURNAL OF FOOD ENGINEERING","id":"ITEM-1","issued":{"date-parts":[["2019"]]},"page":"112-125","title":"Advances in starch hydrolysis for bioethanol production","type":"article-journal","volume":"245"},"uris":["http://www.mendeley.com/documents/?uuid=517d74a5-c639-4c3f-a287-9a8ef8aaaf3b"]}],"mendeley":{"formattedCitation":"(Garcia, L., Rodriguez, M., &amp; Perez, 2019)","plainTextFormattedCitation":"(Garcia, L., Rodriguez, M., &amp; Perez, 2019)","previouslyFormattedCitation":"(Garcia, L., Rodriguez, M., &amp; Perez, 2019)"},"properties":{"noteIndex":0},"schema":"https://github.com/citation-style-language/schema/raw/master/csl-citation.json"}</w:instrText>
      </w:r>
      <w:r w:rsidR="00DC5845">
        <w:fldChar w:fldCharType="separate"/>
      </w:r>
      <w:r w:rsidR="00DC5845" w:rsidRPr="00DC5845">
        <w:rPr>
          <w:noProof/>
        </w:rPr>
        <w:t>(Garcia, L., Rodriguez, M., &amp; Perez, 2019)</w:t>
      </w:r>
      <w:r w:rsidR="00DC5845">
        <w:fldChar w:fldCharType="end"/>
      </w:r>
      <w:r w:rsidRPr="009D6FF0">
        <w:t>, but the unique characteristics of yam starch, including its gelatinization properties and varietal differences</w:t>
      </w:r>
      <w:r w:rsidR="001311D8">
        <w:t xml:space="preserve"> </w:t>
      </w:r>
      <w:r w:rsidR="001311D8">
        <w:fldChar w:fldCharType="begin" w:fldLock="1"/>
      </w:r>
      <w:r w:rsidR="00A5658A">
        <w:instrText>ADDIN CSL_CITATION {"citationItems":[{"id":"ITEM-1","itemData":{"author":[{"dropping-particle":"","family":"Espitia, J., Salcedo, J., &amp; Garcia","given":"C.","non-dropping-particle":"","parse-names":false,"suffix":""}],"container-title":"Revista Técnica De La Facultad De Ingeniería. Universidad Del Zulia","id":"ITEM-1","issue":"1","issued":{"date-parts":[["2016"]]},"title":"Funtional Properties of Starch Yam (Dioscorea bulbífera,Dioscorea trífida y Dioscorea esculenta)","type":"article-journal","volume":"39"},"uris":["http://www.mendeley.com/documents/?uuid=8b6e3b64-1583-49cb-bd33-9f38cd47bf8c"]}],"mendeley":{"formattedCitation":"(Espitia, J., Salcedo, J., &amp; Garcia, 2016)","plainTextFormattedCitation":"(Espitia, J., Salcedo, J., &amp; Garcia, 2016)","previouslyFormattedCitation":"(Espitia, J., Salcedo, J., &amp; Garcia, 2016)"},"properties":{"noteIndex":0},"schema":"https://github.com/citation-style-language/schema/raw/master/csl-citation.json"}</w:instrText>
      </w:r>
      <w:r w:rsidR="001311D8">
        <w:fldChar w:fldCharType="separate"/>
      </w:r>
      <w:r w:rsidR="001311D8" w:rsidRPr="001311D8">
        <w:rPr>
          <w:noProof/>
        </w:rPr>
        <w:t>(Espitia, J., Salcedo, J., &amp; Garcia, 2016)</w:t>
      </w:r>
      <w:r w:rsidR="001311D8">
        <w:fldChar w:fldCharType="end"/>
      </w:r>
      <w:r w:rsidRPr="009D6FF0">
        <w:t xml:space="preserve">, necessitate tailored approaches. This study aims to address this gap by developing a vodka-like alcoholic beverage from locally cultivated yam varieties, specifically targeting the criollo yams prevalent in the Montes de María </w:t>
      </w:r>
      <w:r w:rsidR="00FB4F49">
        <w:t xml:space="preserve">a </w:t>
      </w:r>
      <w:r w:rsidRPr="009D6FF0">
        <w:t>subregion</w:t>
      </w:r>
      <w:r w:rsidR="00FB4F49">
        <w:t xml:space="preserve"> </w:t>
      </w:r>
      <w:r w:rsidR="001F334F">
        <w:t>close to Cartagena de Indias</w:t>
      </w:r>
      <w:r w:rsidRPr="009D6FF0">
        <w:t>.</w:t>
      </w:r>
    </w:p>
    <w:p w14:paraId="4D3E86D8" w14:textId="794B7388" w:rsidR="009D6FF0" w:rsidRPr="004444A6" w:rsidRDefault="009D6FF0" w:rsidP="004444A6">
      <w:pPr>
        <w:pStyle w:val="CETBodytext"/>
      </w:pPr>
      <w:r w:rsidRPr="009D6FF0">
        <w:t xml:space="preserve">This research distinguishes itself by integrating traditional agricultural practices with modern engineering principles to create a value-added product that aligns with community values and market demands. Unlike conventional yam processing, which primarily focuses on direct consumption, this project seeks to diversify yam </w:t>
      </w:r>
      <w:r w:rsidRPr="009D6FF0">
        <w:lastRenderedPageBreak/>
        <w:t xml:space="preserve">utilization and generate new economic opportunities. Furthermore, by focusing on a distilled product, this work aims to create a product with </w:t>
      </w:r>
      <w:r w:rsidR="0040755C" w:rsidRPr="009D6FF0">
        <w:t>longer</w:t>
      </w:r>
      <w:r w:rsidRPr="009D6FF0">
        <w:t xml:space="preserve"> </w:t>
      </w:r>
      <w:r w:rsidR="00B73095">
        <w:t>|</w:t>
      </w:r>
      <w:r w:rsidR="00B73095">
        <w:tab/>
      </w:r>
      <w:r w:rsidR="00AB1BED">
        <w:t>+</w:t>
      </w:r>
      <w:r w:rsidRPr="009D6FF0">
        <w:t xml:space="preserve">stability and </w:t>
      </w:r>
      <w:r w:rsidR="00E01D21" w:rsidRPr="009D6FF0">
        <w:t>higher</w:t>
      </w:r>
      <w:r w:rsidRPr="009D6FF0">
        <w:t xml:space="preserve"> value per unit than traditional yam products. The selection of San Cayetano, a district of San Juan Nepomuceno, </w:t>
      </w:r>
      <w:r w:rsidR="00E01D21">
        <w:t xml:space="preserve">a municipality of Montes de Maria </w:t>
      </w:r>
      <w:r w:rsidRPr="009D6FF0">
        <w:t>as the study site is driven by its rich yam cultivation heritage and the need for sustainable economic alternatives. This research will contribute to the understanding of yam starch conversion and fermentation processes, providing a foundation for further development and adoption of similar technologies in other yam-producing regions.</w:t>
      </w:r>
    </w:p>
    <w:p w14:paraId="6C7931A0" w14:textId="541EB659" w:rsidR="00C047A8" w:rsidRDefault="00D126FA" w:rsidP="004444A6">
      <w:pPr>
        <w:pStyle w:val="CETHeading1"/>
        <w:numPr>
          <w:ilvl w:val="1"/>
          <w:numId w:val="24"/>
        </w:numPr>
      </w:pPr>
      <w:r w:rsidRPr="00D126FA">
        <w:t>Materials and methods</w:t>
      </w:r>
    </w:p>
    <w:p w14:paraId="253683B2" w14:textId="7AE8D4B3" w:rsidR="00D126FA" w:rsidRPr="00C047A8" w:rsidRDefault="00F40F57" w:rsidP="00C047A8">
      <w:pPr>
        <w:pStyle w:val="CETHeading1"/>
        <w:numPr>
          <w:ilvl w:val="0"/>
          <w:numId w:val="0"/>
        </w:numPr>
        <w:rPr>
          <w:sz w:val="18"/>
          <w:szCs w:val="18"/>
        </w:rPr>
      </w:pPr>
      <w:r>
        <w:rPr>
          <w:sz w:val="18"/>
          <w:szCs w:val="18"/>
        </w:rPr>
        <w:t xml:space="preserve">2.1 </w:t>
      </w:r>
      <w:r w:rsidR="00D126FA" w:rsidRPr="00C047A8">
        <w:rPr>
          <w:sz w:val="18"/>
          <w:szCs w:val="18"/>
        </w:rPr>
        <w:t>Characterization of Yam Flour</w:t>
      </w:r>
    </w:p>
    <w:p w14:paraId="0636B784" w14:textId="420725B2" w:rsidR="00453E24" w:rsidRDefault="0012133D" w:rsidP="00C047A8">
      <w:pPr>
        <w:pStyle w:val="CETheadingx"/>
        <w:rPr>
          <w:b w:val="0"/>
          <w:bCs/>
        </w:rPr>
      </w:pPr>
      <w:r w:rsidRPr="00711DAE">
        <w:rPr>
          <w:b w:val="0"/>
        </w:rPr>
        <w:t>The yam flour was purchased from the Afro-Yam Gastronomic Association of San Cayetano (Bolívar, Colombia), a group of women producers of yam and cassava flour.</w:t>
      </w:r>
      <w:r w:rsidRPr="00711DAE">
        <w:t xml:space="preserve"> </w:t>
      </w:r>
      <w:r w:rsidR="00C047A8">
        <w:rPr>
          <w:b w:val="0"/>
          <w:bCs/>
        </w:rPr>
        <w:t xml:space="preserve">Yam </w:t>
      </w:r>
      <w:r w:rsidR="00D126FA" w:rsidRPr="00C047A8">
        <w:rPr>
          <w:b w:val="0"/>
          <w:bCs/>
        </w:rPr>
        <w:t xml:space="preserve">flour was obtained by producers through sun drying and milling the dried tuber. </w:t>
      </w:r>
      <w:r w:rsidR="004D2F0C" w:rsidRPr="004D2F0C">
        <w:rPr>
          <w:b w:val="0"/>
          <w:bCs/>
        </w:rPr>
        <w:t xml:space="preserve">Its composition was </w:t>
      </w:r>
      <w:r w:rsidR="00656FFB" w:rsidRPr="004D2F0C">
        <w:rPr>
          <w:b w:val="0"/>
          <w:bCs/>
        </w:rPr>
        <w:t>analyzed,</w:t>
      </w:r>
      <w:r w:rsidR="004D2F0C" w:rsidRPr="004D2F0C">
        <w:rPr>
          <w:b w:val="0"/>
          <w:bCs/>
        </w:rPr>
        <w:t xml:space="preserve"> and the results are shown in Table 1.</w:t>
      </w:r>
    </w:p>
    <w:p w14:paraId="21424D75" w14:textId="77777777" w:rsidR="00F5437C" w:rsidRPr="00254E9D" w:rsidRDefault="00F5437C" w:rsidP="00F5437C">
      <w:pPr>
        <w:pStyle w:val="CETTabletitle"/>
      </w:pPr>
      <w:r w:rsidRPr="00254E9D">
        <w:t xml:space="preserve">Table 1: </w:t>
      </w:r>
      <w:r>
        <w:t xml:space="preserve">Composition of yam flour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41"/>
        <w:gridCol w:w="3442"/>
        <w:gridCol w:w="1134"/>
        <w:gridCol w:w="1134"/>
      </w:tblGrid>
      <w:tr w:rsidR="00F5437C" w:rsidRPr="00254E9D" w14:paraId="18F1EF1A" w14:textId="77777777" w:rsidTr="0064731D">
        <w:tc>
          <w:tcPr>
            <w:tcW w:w="1741" w:type="dxa"/>
            <w:tcBorders>
              <w:top w:val="single" w:sz="12" w:space="0" w:color="008000"/>
              <w:bottom w:val="single" w:sz="6" w:space="0" w:color="008000"/>
            </w:tcBorders>
            <w:shd w:val="clear" w:color="auto" w:fill="FFFFFF"/>
          </w:tcPr>
          <w:p w14:paraId="07A24013" w14:textId="77777777" w:rsidR="00F5437C" w:rsidRPr="00254E9D" w:rsidRDefault="00F5437C" w:rsidP="0064731D">
            <w:pPr>
              <w:pStyle w:val="CETBodytext"/>
              <w:jc w:val="left"/>
              <w:rPr>
                <w:lang w:val="en-GB"/>
              </w:rPr>
            </w:pPr>
            <w:bookmarkStart w:id="1" w:name="_Hlk140071003"/>
            <w:r>
              <w:rPr>
                <w:lang w:val="en-GB"/>
              </w:rPr>
              <w:t xml:space="preserve">Parameters </w:t>
            </w:r>
            <w:r w:rsidRPr="00254E9D">
              <w:rPr>
                <w:lang w:val="en-GB"/>
              </w:rPr>
              <w:t xml:space="preserve"> </w:t>
            </w:r>
          </w:p>
        </w:tc>
        <w:tc>
          <w:tcPr>
            <w:tcW w:w="3442" w:type="dxa"/>
            <w:tcBorders>
              <w:top w:val="single" w:sz="12" w:space="0" w:color="008000"/>
              <w:bottom w:val="single" w:sz="6" w:space="0" w:color="008000"/>
            </w:tcBorders>
            <w:shd w:val="clear" w:color="auto" w:fill="FFFFFF"/>
          </w:tcPr>
          <w:p w14:paraId="7680BFB6" w14:textId="77777777" w:rsidR="00F5437C" w:rsidRPr="00254E9D" w:rsidRDefault="00F5437C" w:rsidP="0064731D">
            <w:pPr>
              <w:pStyle w:val="CETBodytext"/>
              <w:ind w:right="-707"/>
              <w:jc w:val="left"/>
              <w:rPr>
                <w:lang w:val="en-GB"/>
              </w:rPr>
            </w:pPr>
            <w:r>
              <w:rPr>
                <w:lang w:val="en-GB"/>
              </w:rPr>
              <w:t xml:space="preserve">Methods </w:t>
            </w:r>
          </w:p>
        </w:tc>
        <w:tc>
          <w:tcPr>
            <w:tcW w:w="1134" w:type="dxa"/>
            <w:tcBorders>
              <w:top w:val="single" w:sz="12" w:space="0" w:color="008000"/>
              <w:bottom w:val="single" w:sz="6" w:space="0" w:color="008000"/>
            </w:tcBorders>
            <w:shd w:val="clear" w:color="auto" w:fill="FFFFFF"/>
          </w:tcPr>
          <w:p w14:paraId="4447ACC4" w14:textId="77777777" w:rsidR="00F5437C" w:rsidRPr="00254E9D" w:rsidRDefault="00F5437C" w:rsidP="0064731D">
            <w:pPr>
              <w:pStyle w:val="CETBodytext"/>
              <w:ind w:right="-286"/>
              <w:jc w:val="left"/>
              <w:rPr>
                <w:lang w:val="en-GB"/>
              </w:rPr>
            </w:pPr>
            <w:r>
              <w:rPr>
                <w:lang w:val="en-GB"/>
              </w:rPr>
              <w:t xml:space="preserve">  Results   </w:t>
            </w:r>
          </w:p>
        </w:tc>
        <w:tc>
          <w:tcPr>
            <w:tcW w:w="1134" w:type="dxa"/>
            <w:tcBorders>
              <w:top w:val="single" w:sz="12" w:space="0" w:color="008000"/>
              <w:bottom w:val="single" w:sz="6" w:space="0" w:color="008000"/>
            </w:tcBorders>
            <w:shd w:val="clear" w:color="auto" w:fill="FFFFFF"/>
          </w:tcPr>
          <w:p w14:paraId="0CBBBA97" w14:textId="77777777" w:rsidR="00F5437C" w:rsidRPr="00254E9D" w:rsidRDefault="00F5437C" w:rsidP="0064731D">
            <w:pPr>
              <w:pStyle w:val="CETBodytext"/>
              <w:ind w:right="-1"/>
              <w:jc w:val="left"/>
              <w:rPr>
                <w:rFonts w:cs="Arial"/>
                <w:szCs w:val="18"/>
                <w:lang w:val="en-GB"/>
              </w:rPr>
            </w:pPr>
            <w:r>
              <w:rPr>
                <w:rFonts w:cs="Arial"/>
                <w:szCs w:val="18"/>
                <w:lang w:val="en-GB"/>
              </w:rPr>
              <w:t xml:space="preserve">Units </w:t>
            </w:r>
          </w:p>
        </w:tc>
      </w:tr>
      <w:tr w:rsidR="00F5437C" w:rsidRPr="00254E9D" w14:paraId="53FA119F" w14:textId="77777777" w:rsidTr="0064731D">
        <w:tc>
          <w:tcPr>
            <w:tcW w:w="1741" w:type="dxa"/>
            <w:shd w:val="clear" w:color="auto" w:fill="FFFFFF"/>
          </w:tcPr>
          <w:p w14:paraId="146E6D6C" w14:textId="77777777" w:rsidR="00F5437C" w:rsidRPr="00254E9D" w:rsidRDefault="00F5437C" w:rsidP="0064731D">
            <w:pPr>
              <w:pStyle w:val="CETBodytext"/>
              <w:jc w:val="left"/>
              <w:rPr>
                <w:lang w:val="en-GB"/>
              </w:rPr>
            </w:pPr>
            <w:r>
              <w:rPr>
                <w:lang w:val="en-GB"/>
              </w:rPr>
              <w:t>Moisture</w:t>
            </w:r>
          </w:p>
        </w:tc>
        <w:tc>
          <w:tcPr>
            <w:tcW w:w="3442" w:type="dxa"/>
            <w:shd w:val="clear" w:color="auto" w:fill="FFFFFF"/>
          </w:tcPr>
          <w:p w14:paraId="6B688BD1" w14:textId="77777777" w:rsidR="00F5437C" w:rsidRPr="00254E9D" w:rsidRDefault="00F5437C" w:rsidP="0064731D">
            <w:pPr>
              <w:pStyle w:val="CETBodytext"/>
              <w:jc w:val="left"/>
              <w:rPr>
                <w:lang w:val="en-GB"/>
              </w:rPr>
            </w:pPr>
            <w:r>
              <w:rPr>
                <w:lang w:val="en-GB"/>
              </w:rPr>
              <w:t xml:space="preserve">Gravimetry – Dried in hoven a 105°C </w:t>
            </w:r>
          </w:p>
        </w:tc>
        <w:tc>
          <w:tcPr>
            <w:tcW w:w="1134" w:type="dxa"/>
            <w:shd w:val="clear" w:color="auto" w:fill="FFFFFF"/>
          </w:tcPr>
          <w:p w14:paraId="24C8CAFC" w14:textId="77777777" w:rsidR="00F5437C" w:rsidRPr="00254E9D" w:rsidRDefault="00F5437C" w:rsidP="0064731D">
            <w:pPr>
              <w:pStyle w:val="CETBodytext"/>
              <w:tabs>
                <w:tab w:val="clear" w:pos="7100"/>
                <w:tab w:val="left" w:pos="530"/>
              </w:tabs>
              <w:jc w:val="left"/>
              <w:rPr>
                <w:lang w:val="en-GB"/>
              </w:rPr>
            </w:pPr>
            <w:r>
              <w:rPr>
                <w:lang w:val="en-GB"/>
              </w:rPr>
              <w:t xml:space="preserve">    12.9 </w:t>
            </w:r>
          </w:p>
        </w:tc>
        <w:tc>
          <w:tcPr>
            <w:tcW w:w="1134" w:type="dxa"/>
            <w:shd w:val="clear" w:color="auto" w:fill="FFFFFF"/>
          </w:tcPr>
          <w:p w14:paraId="461FFB57" w14:textId="77777777" w:rsidR="00F5437C" w:rsidRPr="00254E9D" w:rsidRDefault="00F5437C" w:rsidP="0064731D">
            <w:pPr>
              <w:pStyle w:val="CETBodytext"/>
              <w:ind w:right="-1"/>
              <w:jc w:val="left"/>
              <w:rPr>
                <w:rFonts w:cs="Arial"/>
                <w:szCs w:val="18"/>
                <w:lang w:val="en-GB"/>
              </w:rPr>
            </w:pPr>
            <w:r>
              <w:rPr>
                <w:rFonts w:cs="Arial"/>
                <w:szCs w:val="18"/>
                <w:lang w:val="en-GB"/>
              </w:rPr>
              <w:t xml:space="preserve">g/100g </w:t>
            </w:r>
          </w:p>
        </w:tc>
      </w:tr>
      <w:tr w:rsidR="00F5437C" w:rsidRPr="00254E9D" w14:paraId="2081E093" w14:textId="77777777" w:rsidTr="0064731D">
        <w:tc>
          <w:tcPr>
            <w:tcW w:w="1741" w:type="dxa"/>
            <w:shd w:val="clear" w:color="auto" w:fill="FFFFFF"/>
          </w:tcPr>
          <w:p w14:paraId="3B82D282" w14:textId="77777777" w:rsidR="00F5437C" w:rsidRPr="00254E9D" w:rsidRDefault="00F5437C" w:rsidP="0064731D">
            <w:pPr>
              <w:pStyle w:val="CETBodytext"/>
              <w:jc w:val="left"/>
              <w:rPr>
                <w:lang w:val="en-GB"/>
              </w:rPr>
            </w:pPr>
            <w:r>
              <w:rPr>
                <w:lang w:val="en-GB"/>
              </w:rPr>
              <w:t xml:space="preserve">Total solid </w:t>
            </w:r>
          </w:p>
        </w:tc>
        <w:tc>
          <w:tcPr>
            <w:tcW w:w="3442" w:type="dxa"/>
            <w:shd w:val="clear" w:color="auto" w:fill="FFFFFF"/>
          </w:tcPr>
          <w:p w14:paraId="24D2A596" w14:textId="77777777" w:rsidR="00F5437C" w:rsidRPr="00254E9D" w:rsidRDefault="00F5437C" w:rsidP="0064731D">
            <w:pPr>
              <w:pStyle w:val="CETBodytext"/>
              <w:jc w:val="left"/>
              <w:rPr>
                <w:lang w:val="en-GB"/>
              </w:rPr>
            </w:pPr>
            <w:r w:rsidRPr="00063408">
              <w:rPr>
                <w:lang w:val="en-GB"/>
              </w:rPr>
              <w:t>AOAC 925.10. Ed 21:2019</w:t>
            </w:r>
            <w:r>
              <w:rPr>
                <w:lang w:val="en-GB"/>
              </w:rPr>
              <w:t xml:space="preserve"> (Gravimetry)</w:t>
            </w:r>
          </w:p>
        </w:tc>
        <w:tc>
          <w:tcPr>
            <w:tcW w:w="1134" w:type="dxa"/>
            <w:shd w:val="clear" w:color="auto" w:fill="FFFFFF"/>
          </w:tcPr>
          <w:p w14:paraId="40273599" w14:textId="77777777" w:rsidR="00F5437C" w:rsidRPr="00254E9D" w:rsidRDefault="00F5437C" w:rsidP="0064731D">
            <w:pPr>
              <w:pStyle w:val="CETBodytext"/>
              <w:jc w:val="left"/>
              <w:rPr>
                <w:lang w:val="en-GB"/>
              </w:rPr>
            </w:pPr>
            <w:r>
              <w:rPr>
                <w:lang w:val="en-GB"/>
              </w:rPr>
              <w:t xml:space="preserve">    87.1 </w:t>
            </w:r>
          </w:p>
        </w:tc>
        <w:tc>
          <w:tcPr>
            <w:tcW w:w="1134" w:type="dxa"/>
            <w:shd w:val="clear" w:color="auto" w:fill="FFFFFF"/>
          </w:tcPr>
          <w:p w14:paraId="3B3FFAB6" w14:textId="77777777" w:rsidR="00F5437C" w:rsidRPr="00254E9D" w:rsidRDefault="00F5437C" w:rsidP="0064731D">
            <w:pPr>
              <w:pStyle w:val="CETBodytext"/>
              <w:ind w:right="-1"/>
              <w:jc w:val="left"/>
              <w:rPr>
                <w:rFonts w:cs="Arial"/>
                <w:szCs w:val="18"/>
                <w:lang w:val="en-GB"/>
              </w:rPr>
            </w:pPr>
            <w:r>
              <w:rPr>
                <w:rFonts w:cs="Arial"/>
                <w:szCs w:val="18"/>
                <w:lang w:val="en-GB"/>
              </w:rPr>
              <w:t xml:space="preserve">g/100g </w:t>
            </w:r>
          </w:p>
        </w:tc>
      </w:tr>
      <w:tr w:rsidR="00F5437C" w:rsidRPr="00254E9D" w14:paraId="70323E86" w14:textId="77777777" w:rsidTr="0064731D">
        <w:tc>
          <w:tcPr>
            <w:tcW w:w="1741" w:type="dxa"/>
            <w:shd w:val="clear" w:color="auto" w:fill="FFFFFF"/>
          </w:tcPr>
          <w:p w14:paraId="319133AE" w14:textId="77777777" w:rsidR="00F5437C" w:rsidRDefault="00F5437C" w:rsidP="0064731D">
            <w:pPr>
              <w:pStyle w:val="CETBodytext"/>
              <w:jc w:val="left"/>
              <w:rPr>
                <w:lang w:val="en-GB"/>
              </w:rPr>
            </w:pPr>
            <w:r>
              <w:rPr>
                <w:lang w:val="en-GB"/>
              </w:rPr>
              <w:t xml:space="preserve">Total carbohydrates </w:t>
            </w:r>
          </w:p>
        </w:tc>
        <w:tc>
          <w:tcPr>
            <w:tcW w:w="3442" w:type="dxa"/>
            <w:shd w:val="clear" w:color="auto" w:fill="FFFFFF"/>
          </w:tcPr>
          <w:p w14:paraId="2A78709B" w14:textId="77777777" w:rsidR="00F5437C" w:rsidRPr="00063408" w:rsidRDefault="00F5437C" w:rsidP="0064731D">
            <w:pPr>
              <w:tabs>
                <w:tab w:val="clear" w:pos="7100"/>
              </w:tabs>
              <w:autoSpaceDE w:val="0"/>
              <w:autoSpaceDN w:val="0"/>
              <w:adjustRightInd w:val="0"/>
              <w:spacing w:line="240" w:lineRule="auto"/>
              <w:jc w:val="left"/>
              <w:rPr>
                <w:rFonts w:eastAsiaTheme="minorHAnsi" w:cs="Arial"/>
                <w:szCs w:val="18"/>
                <w:lang w:val="es-419"/>
              </w:rPr>
            </w:pPr>
            <w:proofErr w:type="spellStart"/>
            <w:r w:rsidRPr="00063408">
              <w:rPr>
                <w:rFonts w:eastAsiaTheme="minorHAnsi" w:cs="Arial"/>
                <w:szCs w:val="18"/>
                <w:lang w:val="es-419"/>
              </w:rPr>
              <w:t>Calculate</w:t>
            </w:r>
            <w:r>
              <w:rPr>
                <w:rFonts w:eastAsiaTheme="minorHAnsi" w:cs="Arial"/>
                <w:szCs w:val="18"/>
                <w:lang w:val="es-419"/>
              </w:rPr>
              <w:t>d</w:t>
            </w:r>
            <w:proofErr w:type="spellEnd"/>
            <w:r w:rsidRPr="00063408">
              <w:rPr>
                <w:rFonts w:eastAsiaTheme="minorHAnsi" w:cs="Arial"/>
                <w:szCs w:val="18"/>
                <w:lang w:val="es-419"/>
              </w:rPr>
              <w:t xml:space="preserve"> </w:t>
            </w:r>
            <w:proofErr w:type="spellStart"/>
            <w:r w:rsidRPr="00063408">
              <w:rPr>
                <w:rFonts w:eastAsiaTheme="minorHAnsi" w:cs="Arial"/>
                <w:szCs w:val="18"/>
                <w:lang w:val="es-419"/>
              </w:rPr>
              <w:t>by</w:t>
            </w:r>
            <w:proofErr w:type="spellEnd"/>
            <w:r w:rsidRPr="00063408">
              <w:rPr>
                <w:rFonts w:eastAsiaTheme="minorHAnsi" w:cs="Arial"/>
                <w:szCs w:val="18"/>
                <w:lang w:val="es-419"/>
              </w:rPr>
              <w:t xml:space="preserve"> </w:t>
            </w:r>
            <w:proofErr w:type="spellStart"/>
            <w:r w:rsidRPr="00063408">
              <w:rPr>
                <w:rFonts w:eastAsiaTheme="minorHAnsi" w:cs="Arial"/>
                <w:szCs w:val="18"/>
                <w:lang w:val="es-419"/>
              </w:rPr>
              <w:t>difference</w:t>
            </w:r>
            <w:proofErr w:type="spellEnd"/>
          </w:p>
        </w:tc>
        <w:tc>
          <w:tcPr>
            <w:tcW w:w="1134" w:type="dxa"/>
            <w:shd w:val="clear" w:color="auto" w:fill="FFFFFF"/>
          </w:tcPr>
          <w:p w14:paraId="6984AE57" w14:textId="77777777" w:rsidR="00F5437C" w:rsidRDefault="00F5437C" w:rsidP="0064731D">
            <w:pPr>
              <w:pStyle w:val="CETBodytext"/>
              <w:jc w:val="left"/>
              <w:rPr>
                <w:lang w:val="en-GB"/>
              </w:rPr>
            </w:pPr>
            <w:r>
              <w:rPr>
                <w:lang w:val="en-GB"/>
              </w:rPr>
              <w:t xml:space="preserve">    81.8</w:t>
            </w:r>
          </w:p>
        </w:tc>
        <w:tc>
          <w:tcPr>
            <w:tcW w:w="1134" w:type="dxa"/>
            <w:shd w:val="clear" w:color="auto" w:fill="FFFFFF"/>
          </w:tcPr>
          <w:p w14:paraId="22213D1D" w14:textId="77777777" w:rsidR="00F5437C" w:rsidRDefault="00F5437C" w:rsidP="0064731D">
            <w:pPr>
              <w:pStyle w:val="CETBodytext"/>
              <w:ind w:right="-1"/>
              <w:jc w:val="left"/>
              <w:rPr>
                <w:rFonts w:cs="Arial"/>
                <w:szCs w:val="18"/>
                <w:lang w:val="en-GB"/>
              </w:rPr>
            </w:pPr>
            <w:r>
              <w:rPr>
                <w:rFonts w:cs="Arial"/>
                <w:szCs w:val="18"/>
                <w:lang w:val="en-GB"/>
              </w:rPr>
              <w:t xml:space="preserve">g/100g </w:t>
            </w:r>
          </w:p>
        </w:tc>
      </w:tr>
      <w:tr w:rsidR="00F5437C" w:rsidRPr="00254E9D" w14:paraId="53D6BE1A" w14:textId="77777777" w:rsidTr="0064731D">
        <w:tc>
          <w:tcPr>
            <w:tcW w:w="1741" w:type="dxa"/>
            <w:shd w:val="clear" w:color="auto" w:fill="FFFFFF"/>
          </w:tcPr>
          <w:p w14:paraId="52959556" w14:textId="77777777" w:rsidR="00F5437C" w:rsidRPr="00254E9D" w:rsidRDefault="00F5437C" w:rsidP="0064731D">
            <w:pPr>
              <w:pStyle w:val="CETBodytext"/>
              <w:jc w:val="left"/>
              <w:rPr>
                <w:lang w:val="en-GB"/>
              </w:rPr>
            </w:pPr>
            <w:r>
              <w:rPr>
                <w:lang w:val="en-GB"/>
              </w:rPr>
              <w:t xml:space="preserve">Total protein </w:t>
            </w:r>
          </w:p>
        </w:tc>
        <w:tc>
          <w:tcPr>
            <w:tcW w:w="3442" w:type="dxa"/>
            <w:shd w:val="clear" w:color="auto" w:fill="FFFFFF"/>
          </w:tcPr>
          <w:p w14:paraId="4F8EEB6B" w14:textId="77777777" w:rsidR="00F5437C" w:rsidRPr="00063408" w:rsidRDefault="00F5437C" w:rsidP="0064731D">
            <w:pPr>
              <w:tabs>
                <w:tab w:val="clear" w:pos="7100"/>
              </w:tabs>
              <w:autoSpaceDE w:val="0"/>
              <w:autoSpaceDN w:val="0"/>
              <w:adjustRightInd w:val="0"/>
              <w:spacing w:line="240" w:lineRule="auto"/>
              <w:jc w:val="left"/>
              <w:rPr>
                <w:rFonts w:eastAsiaTheme="minorHAnsi" w:cs="Arial"/>
                <w:szCs w:val="18"/>
                <w:lang w:val="es-419"/>
              </w:rPr>
            </w:pPr>
            <w:r w:rsidRPr="00063408">
              <w:rPr>
                <w:rFonts w:eastAsiaTheme="minorHAnsi" w:cs="Arial"/>
                <w:szCs w:val="18"/>
                <w:lang w:val="es-419"/>
              </w:rPr>
              <w:t>ISO</w:t>
            </w:r>
            <w:r>
              <w:rPr>
                <w:rFonts w:eastAsiaTheme="minorHAnsi" w:cs="Arial"/>
                <w:szCs w:val="18"/>
                <w:lang w:val="es-419"/>
              </w:rPr>
              <w:t xml:space="preserve"> </w:t>
            </w:r>
            <w:r w:rsidRPr="00063408">
              <w:rPr>
                <w:rFonts w:eastAsiaTheme="minorHAnsi" w:cs="Arial"/>
                <w:szCs w:val="18"/>
                <w:lang w:val="es-419"/>
              </w:rPr>
              <w:t>1871:2009</w:t>
            </w:r>
            <w:r>
              <w:rPr>
                <w:rFonts w:eastAsiaTheme="minorHAnsi" w:cs="Arial"/>
                <w:szCs w:val="18"/>
                <w:lang w:val="es-419"/>
              </w:rPr>
              <w:t xml:space="preserve"> (Kjeldahl)</w:t>
            </w:r>
          </w:p>
        </w:tc>
        <w:tc>
          <w:tcPr>
            <w:tcW w:w="1134" w:type="dxa"/>
            <w:shd w:val="clear" w:color="auto" w:fill="FFFFFF"/>
          </w:tcPr>
          <w:p w14:paraId="38EA4648" w14:textId="77777777" w:rsidR="00F5437C" w:rsidRPr="00254E9D" w:rsidRDefault="00F5437C" w:rsidP="0064731D">
            <w:pPr>
              <w:pStyle w:val="CETBodytext"/>
              <w:jc w:val="left"/>
              <w:rPr>
                <w:lang w:val="en-GB"/>
              </w:rPr>
            </w:pPr>
            <w:r>
              <w:rPr>
                <w:lang w:val="en-GB"/>
              </w:rPr>
              <w:t xml:space="preserve">    3.3</w:t>
            </w:r>
          </w:p>
        </w:tc>
        <w:tc>
          <w:tcPr>
            <w:tcW w:w="1134" w:type="dxa"/>
            <w:shd w:val="clear" w:color="auto" w:fill="FFFFFF"/>
          </w:tcPr>
          <w:p w14:paraId="0E970CE7" w14:textId="77777777" w:rsidR="00F5437C" w:rsidRPr="00254E9D" w:rsidRDefault="00F5437C" w:rsidP="0064731D">
            <w:pPr>
              <w:pStyle w:val="CETBodytext"/>
              <w:ind w:right="-1"/>
              <w:jc w:val="left"/>
              <w:rPr>
                <w:rFonts w:cs="Arial"/>
                <w:szCs w:val="18"/>
                <w:lang w:val="en-GB"/>
              </w:rPr>
            </w:pPr>
            <w:r>
              <w:rPr>
                <w:rFonts w:cs="Arial"/>
                <w:szCs w:val="18"/>
                <w:lang w:val="en-GB"/>
              </w:rPr>
              <w:t>g/100g</w:t>
            </w:r>
          </w:p>
        </w:tc>
      </w:tr>
      <w:tr w:rsidR="00F5437C" w:rsidRPr="00254E9D" w14:paraId="332AEFA5" w14:textId="77777777" w:rsidTr="0064731D">
        <w:tc>
          <w:tcPr>
            <w:tcW w:w="1741" w:type="dxa"/>
            <w:shd w:val="clear" w:color="auto" w:fill="FFFFFF"/>
          </w:tcPr>
          <w:p w14:paraId="7047D085" w14:textId="77777777" w:rsidR="00F5437C" w:rsidRDefault="00F5437C" w:rsidP="0064731D">
            <w:pPr>
              <w:pStyle w:val="CETBodytext"/>
              <w:jc w:val="left"/>
              <w:rPr>
                <w:lang w:val="en-GB"/>
              </w:rPr>
            </w:pPr>
            <w:r>
              <w:rPr>
                <w:lang w:val="en-GB"/>
              </w:rPr>
              <w:t xml:space="preserve">Total fat </w:t>
            </w:r>
          </w:p>
        </w:tc>
        <w:tc>
          <w:tcPr>
            <w:tcW w:w="3442" w:type="dxa"/>
            <w:shd w:val="clear" w:color="auto" w:fill="FFFFFF"/>
          </w:tcPr>
          <w:p w14:paraId="0E177FCC" w14:textId="77777777" w:rsidR="00F5437C" w:rsidRPr="00063408" w:rsidRDefault="00F5437C" w:rsidP="0064731D">
            <w:pPr>
              <w:tabs>
                <w:tab w:val="clear" w:pos="7100"/>
              </w:tabs>
              <w:autoSpaceDE w:val="0"/>
              <w:autoSpaceDN w:val="0"/>
              <w:adjustRightInd w:val="0"/>
              <w:spacing w:line="240" w:lineRule="auto"/>
              <w:jc w:val="left"/>
              <w:rPr>
                <w:rFonts w:eastAsiaTheme="minorHAnsi" w:cs="Arial"/>
                <w:szCs w:val="18"/>
                <w:lang w:val="es-419"/>
              </w:rPr>
            </w:pPr>
            <w:r>
              <w:rPr>
                <w:rFonts w:eastAsiaTheme="minorHAnsi" w:cs="Arial"/>
                <w:szCs w:val="18"/>
                <w:lang w:val="es-419"/>
              </w:rPr>
              <w:t>(</w:t>
            </w:r>
            <w:r w:rsidRPr="004F756E">
              <w:rPr>
                <w:rFonts w:eastAsiaTheme="minorHAnsi" w:cs="Arial"/>
                <w:szCs w:val="18"/>
                <w:lang w:val="es-419"/>
              </w:rPr>
              <w:t xml:space="preserve">Soxhlet </w:t>
            </w:r>
            <w:proofErr w:type="spellStart"/>
            <w:r>
              <w:rPr>
                <w:rFonts w:eastAsiaTheme="minorHAnsi" w:cs="Arial"/>
                <w:szCs w:val="18"/>
                <w:lang w:val="es-419"/>
              </w:rPr>
              <w:t>e</w:t>
            </w:r>
            <w:r w:rsidRPr="004F756E">
              <w:rPr>
                <w:rFonts w:eastAsiaTheme="minorHAnsi" w:cs="Arial"/>
                <w:szCs w:val="18"/>
                <w:lang w:val="es-419"/>
              </w:rPr>
              <w:t>thereal</w:t>
            </w:r>
            <w:proofErr w:type="spellEnd"/>
            <w:r w:rsidRPr="004F756E">
              <w:rPr>
                <w:rFonts w:eastAsiaTheme="minorHAnsi" w:cs="Arial"/>
                <w:szCs w:val="18"/>
                <w:lang w:val="es-419"/>
              </w:rPr>
              <w:t xml:space="preserve"> </w:t>
            </w:r>
            <w:proofErr w:type="spellStart"/>
            <w:r w:rsidRPr="004F756E">
              <w:rPr>
                <w:rFonts w:eastAsiaTheme="minorHAnsi" w:cs="Arial"/>
                <w:szCs w:val="18"/>
                <w:lang w:val="es-419"/>
              </w:rPr>
              <w:t>extraction</w:t>
            </w:r>
            <w:proofErr w:type="spellEnd"/>
            <w:r w:rsidRPr="004F756E">
              <w:rPr>
                <w:rFonts w:eastAsiaTheme="minorHAnsi" w:cs="Arial"/>
                <w:szCs w:val="18"/>
                <w:lang w:val="es-419"/>
              </w:rPr>
              <w:t>)</w:t>
            </w:r>
          </w:p>
        </w:tc>
        <w:tc>
          <w:tcPr>
            <w:tcW w:w="1134" w:type="dxa"/>
            <w:shd w:val="clear" w:color="auto" w:fill="FFFFFF"/>
          </w:tcPr>
          <w:p w14:paraId="368E63CA" w14:textId="77777777" w:rsidR="00F5437C" w:rsidRDefault="00F5437C" w:rsidP="0064731D">
            <w:pPr>
              <w:pStyle w:val="CETBodytext"/>
              <w:jc w:val="left"/>
              <w:rPr>
                <w:lang w:val="en-GB"/>
              </w:rPr>
            </w:pPr>
            <w:r>
              <w:rPr>
                <w:lang w:val="en-GB"/>
              </w:rPr>
              <w:t xml:space="preserve">    0.3</w:t>
            </w:r>
          </w:p>
        </w:tc>
        <w:tc>
          <w:tcPr>
            <w:tcW w:w="1134" w:type="dxa"/>
            <w:shd w:val="clear" w:color="auto" w:fill="FFFFFF"/>
          </w:tcPr>
          <w:p w14:paraId="0F971C72" w14:textId="77777777" w:rsidR="00F5437C" w:rsidRDefault="00F5437C" w:rsidP="0064731D">
            <w:pPr>
              <w:pStyle w:val="CETBodytext"/>
              <w:ind w:right="-1"/>
              <w:jc w:val="left"/>
              <w:rPr>
                <w:rFonts w:cs="Arial"/>
                <w:szCs w:val="18"/>
                <w:lang w:val="en-GB"/>
              </w:rPr>
            </w:pPr>
            <w:r>
              <w:rPr>
                <w:rFonts w:cs="Arial"/>
                <w:szCs w:val="18"/>
                <w:lang w:val="en-GB"/>
              </w:rPr>
              <w:t>g/100g</w:t>
            </w:r>
          </w:p>
        </w:tc>
      </w:tr>
      <w:tr w:rsidR="00F5437C" w:rsidRPr="00254E9D" w14:paraId="52F9D0A2" w14:textId="77777777" w:rsidTr="0064731D">
        <w:tc>
          <w:tcPr>
            <w:tcW w:w="1741" w:type="dxa"/>
            <w:shd w:val="clear" w:color="auto" w:fill="FFFFFF"/>
          </w:tcPr>
          <w:p w14:paraId="1138698E" w14:textId="77777777" w:rsidR="00F5437C" w:rsidRDefault="00F5437C" w:rsidP="0064731D">
            <w:pPr>
              <w:pStyle w:val="CETBodytext"/>
              <w:jc w:val="left"/>
              <w:rPr>
                <w:lang w:val="en-GB"/>
              </w:rPr>
            </w:pPr>
            <w:r>
              <w:rPr>
                <w:lang w:val="en-GB"/>
              </w:rPr>
              <w:t xml:space="preserve">Total </w:t>
            </w:r>
            <w:proofErr w:type="spellStart"/>
            <w:r>
              <w:rPr>
                <w:lang w:val="en-GB"/>
              </w:rPr>
              <w:t>fiber</w:t>
            </w:r>
            <w:proofErr w:type="spellEnd"/>
            <w:r>
              <w:rPr>
                <w:lang w:val="en-GB"/>
              </w:rPr>
              <w:t xml:space="preserve"> </w:t>
            </w:r>
          </w:p>
        </w:tc>
        <w:tc>
          <w:tcPr>
            <w:tcW w:w="3442" w:type="dxa"/>
            <w:shd w:val="clear" w:color="auto" w:fill="FFFFFF"/>
          </w:tcPr>
          <w:p w14:paraId="3C36338B" w14:textId="77777777" w:rsidR="00F5437C" w:rsidRPr="00063408" w:rsidRDefault="00F5437C" w:rsidP="0064731D">
            <w:pPr>
              <w:tabs>
                <w:tab w:val="clear" w:pos="7100"/>
              </w:tabs>
              <w:autoSpaceDE w:val="0"/>
              <w:autoSpaceDN w:val="0"/>
              <w:adjustRightInd w:val="0"/>
              <w:spacing w:line="240" w:lineRule="auto"/>
              <w:jc w:val="left"/>
              <w:rPr>
                <w:rFonts w:eastAsiaTheme="minorHAnsi" w:cs="Arial"/>
                <w:szCs w:val="18"/>
              </w:rPr>
            </w:pPr>
            <w:r w:rsidRPr="00063408">
              <w:rPr>
                <w:rFonts w:eastAsiaTheme="minorHAnsi" w:cs="Arial"/>
                <w:szCs w:val="18"/>
              </w:rPr>
              <w:t xml:space="preserve">(Hydrolysis acid, alkaline and calcination) </w:t>
            </w:r>
          </w:p>
        </w:tc>
        <w:tc>
          <w:tcPr>
            <w:tcW w:w="1134" w:type="dxa"/>
            <w:shd w:val="clear" w:color="auto" w:fill="FFFFFF"/>
          </w:tcPr>
          <w:p w14:paraId="066435DD" w14:textId="77777777" w:rsidR="00F5437C" w:rsidRDefault="00F5437C" w:rsidP="0064731D">
            <w:pPr>
              <w:pStyle w:val="CETBodytext"/>
              <w:jc w:val="left"/>
              <w:rPr>
                <w:lang w:val="en-GB"/>
              </w:rPr>
            </w:pPr>
            <w:r>
              <w:rPr>
                <w:lang w:val="en-GB"/>
              </w:rPr>
              <w:t xml:space="preserve">    0.6</w:t>
            </w:r>
          </w:p>
        </w:tc>
        <w:tc>
          <w:tcPr>
            <w:tcW w:w="1134" w:type="dxa"/>
            <w:shd w:val="clear" w:color="auto" w:fill="FFFFFF"/>
          </w:tcPr>
          <w:p w14:paraId="4D731502" w14:textId="77777777" w:rsidR="00F5437C" w:rsidRDefault="00F5437C" w:rsidP="0064731D">
            <w:pPr>
              <w:pStyle w:val="CETBodytext"/>
              <w:ind w:right="-1"/>
              <w:jc w:val="left"/>
              <w:rPr>
                <w:rFonts w:cs="Arial"/>
                <w:szCs w:val="18"/>
                <w:lang w:val="en-GB"/>
              </w:rPr>
            </w:pPr>
            <w:r>
              <w:rPr>
                <w:rFonts w:cs="Arial"/>
                <w:szCs w:val="18"/>
                <w:lang w:val="en-GB"/>
              </w:rPr>
              <w:t>g/100g</w:t>
            </w:r>
          </w:p>
        </w:tc>
      </w:tr>
      <w:tr w:rsidR="00F5437C" w:rsidRPr="00254E9D" w14:paraId="4B0BD1EC" w14:textId="77777777" w:rsidTr="0064731D">
        <w:tc>
          <w:tcPr>
            <w:tcW w:w="1741" w:type="dxa"/>
            <w:shd w:val="clear" w:color="auto" w:fill="FFFFFF"/>
          </w:tcPr>
          <w:p w14:paraId="54C5A7B3" w14:textId="77777777" w:rsidR="00F5437C" w:rsidRDefault="00F5437C" w:rsidP="0064731D">
            <w:pPr>
              <w:pStyle w:val="CETBodytext"/>
              <w:jc w:val="left"/>
              <w:rPr>
                <w:lang w:val="en-GB"/>
              </w:rPr>
            </w:pPr>
            <w:r>
              <w:rPr>
                <w:lang w:val="en-GB"/>
              </w:rPr>
              <w:t xml:space="preserve">Ash </w:t>
            </w:r>
          </w:p>
        </w:tc>
        <w:tc>
          <w:tcPr>
            <w:tcW w:w="3442" w:type="dxa"/>
            <w:shd w:val="clear" w:color="auto" w:fill="FFFFFF"/>
          </w:tcPr>
          <w:p w14:paraId="3DBF577E" w14:textId="77777777" w:rsidR="00F5437C" w:rsidRPr="004F756E" w:rsidRDefault="00F5437C" w:rsidP="0064731D">
            <w:pPr>
              <w:tabs>
                <w:tab w:val="clear" w:pos="7100"/>
              </w:tabs>
              <w:autoSpaceDE w:val="0"/>
              <w:autoSpaceDN w:val="0"/>
              <w:adjustRightInd w:val="0"/>
              <w:spacing w:line="240" w:lineRule="auto"/>
              <w:jc w:val="left"/>
              <w:rPr>
                <w:rFonts w:eastAsiaTheme="minorHAnsi" w:cs="Arial"/>
                <w:szCs w:val="18"/>
                <w:lang w:val="es-419"/>
              </w:rPr>
            </w:pPr>
            <w:r w:rsidRPr="004F756E">
              <w:rPr>
                <w:rFonts w:eastAsiaTheme="minorHAnsi" w:cs="Arial"/>
                <w:szCs w:val="18"/>
                <w:lang w:val="es-419"/>
              </w:rPr>
              <w:t>(</w:t>
            </w:r>
            <w:proofErr w:type="spellStart"/>
            <w:r w:rsidRPr="004F756E">
              <w:rPr>
                <w:rFonts w:eastAsiaTheme="minorHAnsi" w:cs="Arial"/>
                <w:szCs w:val="18"/>
                <w:lang w:val="es-419"/>
              </w:rPr>
              <w:t>Gravimetry</w:t>
            </w:r>
            <w:proofErr w:type="spellEnd"/>
            <w:r w:rsidRPr="004F756E">
              <w:rPr>
                <w:rFonts w:eastAsiaTheme="minorHAnsi" w:cs="Arial"/>
                <w:szCs w:val="18"/>
                <w:lang w:val="es-419"/>
              </w:rPr>
              <w:t xml:space="preserve"> -</w:t>
            </w:r>
            <w:r>
              <w:rPr>
                <w:rFonts w:eastAsiaTheme="minorHAnsi" w:cs="Arial"/>
                <w:szCs w:val="18"/>
                <w:lang w:val="es-419"/>
              </w:rPr>
              <w:t xml:space="preserve"> </w:t>
            </w:r>
            <w:proofErr w:type="spellStart"/>
            <w:r w:rsidRPr="004F756E">
              <w:rPr>
                <w:rFonts w:eastAsiaTheme="minorHAnsi" w:cs="Arial"/>
                <w:szCs w:val="18"/>
                <w:lang w:val="es-419"/>
              </w:rPr>
              <w:t>calcination</w:t>
            </w:r>
            <w:proofErr w:type="spellEnd"/>
            <w:r w:rsidRPr="004F756E">
              <w:rPr>
                <w:rFonts w:eastAsiaTheme="minorHAnsi" w:cs="Arial"/>
                <w:szCs w:val="18"/>
                <w:lang w:val="es-419"/>
              </w:rPr>
              <w:t xml:space="preserve"> at 600°C)</w:t>
            </w:r>
          </w:p>
        </w:tc>
        <w:tc>
          <w:tcPr>
            <w:tcW w:w="1134" w:type="dxa"/>
            <w:shd w:val="clear" w:color="auto" w:fill="FFFFFF"/>
          </w:tcPr>
          <w:p w14:paraId="708C51F7" w14:textId="77777777" w:rsidR="00F5437C" w:rsidRDefault="00F5437C" w:rsidP="0064731D">
            <w:pPr>
              <w:pStyle w:val="CETBodytext"/>
              <w:jc w:val="left"/>
              <w:rPr>
                <w:lang w:val="en-GB"/>
              </w:rPr>
            </w:pPr>
            <w:r>
              <w:rPr>
                <w:lang w:val="en-GB"/>
              </w:rPr>
              <w:t xml:space="preserve">    1.7</w:t>
            </w:r>
          </w:p>
        </w:tc>
        <w:tc>
          <w:tcPr>
            <w:tcW w:w="1134" w:type="dxa"/>
            <w:shd w:val="clear" w:color="auto" w:fill="FFFFFF"/>
          </w:tcPr>
          <w:p w14:paraId="52315EB9" w14:textId="77777777" w:rsidR="00F5437C" w:rsidRDefault="00F5437C" w:rsidP="0064731D">
            <w:pPr>
              <w:pStyle w:val="CETBodytext"/>
              <w:ind w:right="-1"/>
              <w:jc w:val="left"/>
              <w:rPr>
                <w:rFonts w:cs="Arial"/>
                <w:szCs w:val="18"/>
                <w:lang w:val="en-GB"/>
              </w:rPr>
            </w:pPr>
            <w:r>
              <w:rPr>
                <w:rFonts w:cs="Arial"/>
                <w:szCs w:val="18"/>
                <w:lang w:val="en-GB"/>
              </w:rPr>
              <w:t>g/100g</w:t>
            </w:r>
          </w:p>
        </w:tc>
      </w:tr>
      <w:bookmarkEnd w:id="1"/>
    </w:tbl>
    <w:p w14:paraId="1F812819" w14:textId="77777777" w:rsidR="00F5437C" w:rsidRDefault="00F5437C" w:rsidP="00F5437C">
      <w:pPr>
        <w:pStyle w:val="CETBodytext"/>
        <w:rPr>
          <w:b/>
          <w:bCs/>
        </w:rPr>
      </w:pPr>
    </w:p>
    <w:p w14:paraId="18BAFA6F" w14:textId="418E25E5" w:rsidR="00453E24" w:rsidRPr="00C047A8" w:rsidRDefault="00F40F57" w:rsidP="00C047A8">
      <w:pPr>
        <w:pStyle w:val="CETheadingx"/>
      </w:pPr>
      <w:r>
        <w:t xml:space="preserve">2.2 </w:t>
      </w:r>
      <w:r w:rsidR="00D126FA" w:rsidRPr="00C047A8">
        <w:t>Enzymatic Hydrolysis</w:t>
      </w:r>
    </w:p>
    <w:p w14:paraId="0F049DC4" w14:textId="597F69C3" w:rsidR="00D126FA" w:rsidRDefault="0012133D" w:rsidP="00D126FA">
      <w:pPr>
        <w:pStyle w:val="CETBodytext"/>
      </w:pPr>
      <w:r>
        <w:t>For enzymatic hydrolysis of yam flour, t</w:t>
      </w:r>
      <w:r w:rsidR="00D126FA">
        <w:t>ap water directly from the Cartagena de Indias water supply (Colombia) was used. Thermostable alpha-amylase and glucoamylase from LD Carlson Company (Kent, OH) were used for starch hydrolysis</w:t>
      </w:r>
      <w:r w:rsidR="00627CC6">
        <w:t xml:space="preserve"> like in the work of </w:t>
      </w:r>
      <w:r w:rsidR="00671511">
        <w:fldChar w:fldCharType="begin" w:fldLock="1"/>
      </w:r>
      <w:r w:rsidR="00033AAE">
        <w:instrText>ADDIN CSL_CITATION {"citationItems":[{"id":"ITEM-1","itemData":{"DOI":"10.3303/CET23102039","ISBN":"9791281206014","ISSN":"22839216","abstract":"Yam is currently an emblematic tuber from Colombian Caribbean Region. Its cultivation and consumption are linked to the arrival of slaves on the Caribbean Coast. Colombia's yam has stood out worldwide for its technological advances in cultivation and it has been among the countries with the best performance indicators in tons per hectare planted. The 90% of the national production comes from Caribbean Region. However, the high perishability of the yam, and high temperatures, the lack of communication routes and the high transportation costs, increase the losses and limit the profitability of the product. There is an overproduction of yam and other tubers too. The impact has come to significantly impoverish both farmers and consumers, even affecting the presence of yam in local population diet. Under similar circumstances, in many cultures distilled alcoholic beverages have emerged from local foods, such as wheat, malt, potato, sugar cane, grapes, etc. The aim of this article is to show preliminary results about using yam as a raw material in an alternative way. It could contribute to increase yam's value through developing a vodka-like distilled process. In this case, raw yam flour was hydrolyzed to obtain a worth to be fermented at 20°C with a commercial S. cerevisiae yeast. After fermentation a simple batch distillation in a copper distiller was made. During the process, it was measured temperature, fermentation time, pH, and Brix degree. All transformation process was done in a pilot plant (CE 640 Gunt, Hamburg). A first-order kinetics model was adjusted to sugars consumption, and a Gompertz model was used to ethanol production. It is concluded that an alcoholic beverage based on yam can be an alternative to yam overproduction.","author":[{"dropping-particle":"","family":"Mason","given":"Marco","non-dropping-particle":"","parse-names":false,"suffix":""},{"dropping-particle":"","family":"Carvajal","given":"Katherine Ramírez","non-dropping-particle":"","parse-names":false,"suffix":""},{"dropping-particle":"","family":"Bernal","given":"Clara Isabel Sánchez","non-dropping-particle":"","parse-names":false,"suffix":""},{"dropping-particle":"","family":"Combat","given":"Juan Camilo Mendoza","non-dropping-particle":"","parse-names":false,"suffix":""},{"dropping-particle":"","family":"Kenealey","given":"Jason Donald","non-dropping-particle":"","parse-names":false,"suffix":""},{"dropping-particle":"","family":"Garcia","given":"Laura Patricia Acosta","non-dropping-particle":"","parse-names":false,"suffix":""},{"dropping-particle":"","family":"Quicazan","given":"Martha María Cuenca","non-dropping-particle":"","parse-names":false,"suffix":""}],"container-title":"Chemical Engineering Transactions","id":"ITEM-1","issue":"June","issued":{"date-parts":[["2023"]]},"page":"229-234","title":"Obtaining a Vodka-like Distillate from a Native Colombian Yam (Dioscorea spp.)","type":"article-journal","volume":"102"},"uris":["http://www.mendeley.com/documents/?uuid=97cc733e-6a29-4bb3-a4d7-9088b5ed5224"]}],"mendeley":{"formattedCitation":"(Mason &lt;i&gt;et al.&lt;/i&gt;, 2023)","manualFormatting":"Mason et al., 2023)","plainTextFormattedCitation":"(Mason et al., 2023)"},"properties":{"noteIndex":0},"schema":"https://github.com/citation-style-language/schema/raw/master/csl-citation.json"}</w:instrText>
      </w:r>
      <w:r w:rsidR="00671511">
        <w:fldChar w:fldCharType="separate"/>
      </w:r>
      <w:r w:rsidR="00671511" w:rsidRPr="00671511">
        <w:rPr>
          <w:noProof/>
        </w:rPr>
        <w:t xml:space="preserve">Mason </w:t>
      </w:r>
      <w:r w:rsidR="00671511" w:rsidRPr="00671511">
        <w:rPr>
          <w:i/>
          <w:noProof/>
        </w:rPr>
        <w:t>et al.</w:t>
      </w:r>
      <w:r w:rsidR="00671511" w:rsidRPr="00671511">
        <w:rPr>
          <w:noProof/>
        </w:rPr>
        <w:t>, 2023)</w:t>
      </w:r>
      <w:r w:rsidR="00671511">
        <w:fldChar w:fldCharType="end"/>
      </w:r>
      <w:r w:rsidR="00D126FA">
        <w:t>. Alpha-amylase is a thermostable powdered enzyme used to hydrolyze long-chain yam starch into dextrin. A dosage of 5.4 g was used for 3.5 L of a yam flour mixture (15%) and water, which was left for 1 hour at 95°C.</w:t>
      </w:r>
    </w:p>
    <w:p w14:paraId="2A1BAC47" w14:textId="623B7D3F" w:rsidR="00F13A86" w:rsidRDefault="00D126FA" w:rsidP="00D126FA">
      <w:pPr>
        <w:pStyle w:val="CETBodytext"/>
      </w:pPr>
      <w:r>
        <w:t>Glucoamylase is an enzyme used for the hydrolysis of short-chain dextrin into fermentable sugars. A dosage of 3.6 g was used for 3.5 L, and it was left for 1 hour at 60°C.</w:t>
      </w:r>
      <w:r w:rsidR="00711DAE">
        <w:t xml:space="preserve"> After these 2 processes the </w:t>
      </w:r>
      <w:proofErr w:type="gramStart"/>
      <w:r w:rsidR="00711DAE">
        <w:t>wort</w:t>
      </w:r>
      <w:proofErr w:type="gramEnd"/>
      <w:r w:rsidR="00711DAE">
        <w:t xml:space="preserve"> was obtained and was ready for the fermentation process. </w:t>
      </w:r>
    </w:p>
    <w:p w14:paraId="3F819E14" w14:textId="2AAC54AE" w:rsidR="00F13A86" w:rsidRPr="00C047A8" w:rsidRDefault="00F40F57" w:rsidP="00C047A8">
      <w:pPr>
        <w:pStyle w:val="CETheadingx"/>
      </w:pPr>
      <w:r>
        <w:t xml:space="preserve">2.3 </w:t>
      </w:r>
      <w:r w:rsidR="00F13A86" w:rsidRPr="00C047A8">
        <w:t>Fermentation of wort</w:t>
      </w:r>
    </w:p>
    <w:p w14:paraId="1D5A0F71" w14:textId="7B3FF203" w:rsidR="00F13A86" w:rsidRDefault="00F13A86" w:rsidP="00D126FA">
      <w:pPr>
        <w:pStyle w:val="CETBodytext"/>
      </w:pPr>
      <w:r w:rsidRPr="00F13A86">
        <w:t>To the</w:t>
      </w:r>
      <w:r>
        <w:t xml:space="preserve"> wort</w:t>
      </w:r>
      <w:r w:rsidRPr="00F13A86">
        <w:t xml:space="preserve"> container, 0.63 g of </w:t>
      </w:r>
      <w:proofErr w:type="spellStart"/>
      <w:r w:rsidRPr="00F13A86">
        <w:t>Springferm</w:t>
      </w:r>
      <w:proofErr w:type="spellEnd"/>
      <w:r w:rsidRPr="00F13A86">
        <w:t xml:space="preserve"> (</w:t>
      </w:r>
      <w:proofErr w:type="spellStart"/>
      <w:r w:rsidRPr="00F13A86">
        <w:t>Fermentis</w:t>
      </w:r>
      <w:proofErr w:type="spellEnd"/>
      <w:r w:rsidRPr="00F13A86">
        <w:t xml:space="preserve"> </w:t>
      </w:r>
      <w:proofErr w:type="spellStart"/>
      <w:r w:rsidRPr="00F13A86">
        <w:t>Lesaffre</w:t>
      </w:r>
      <w:proofErr w:type="spellEnd"/>
      <w:r w:rsidRPr="00F13A86">
        <w:t xml:space="preserve">, </w:t>
      </w:r>
      <w:proofErr w:type="spellStart"/>
      <w:r w:rsidRPr="00F13A86">
        <w:t>Marcq-en-Baroeul</w:t>
      </w:r>
      <w:proofErr w:type="spellEnd"/>
      <w:r w:rsidRPr="00F13A86">
        <w:t xml:space="preserve"> Cedex, France) and 0.63 g of diammonium phosphate as a </w:t>
      </w:r>
      <w:r w:rsidR="00220409">
        <w:t>nitrogen</w:t>
      </w:r>
      <w:r w:rsidRPr="00F13A86">
        <w:t xml:space="preserve"> source for the yeast were added. The following commercial yeasts were used: Red Star Premier Classique (PC) at a dose of 0.26 g/L, a yeast selected for wine production, and </w:t>
      </w:r>
      <w:proofErr w:type="spellStart"/>
      <w:r w:rsidRPr="00F13A86">
        <w:t>SafBrew</w:t>
      </w:r>
      <w:proofErr w:type="spellEnd"/>
      <w:r w:rsidRPr="00F13A86">
        <w:t xml:space="preserve"> HA-18 (HA-18) (</w:t>
      </w:r>
      <w:proofErr w:type="spellStart"/>
      <w:r w:rsidRPr="00F13A86">
        <w:t>Fermentis</w:t>
      </w:r>
      <w:proofErr w:type="spellEnd"/>
      <w:r w:rsidRPr="00F13A86">
        <w:t xml:space="preserve"> </w:t>
      </w:r>
      <w:proofErr w:type="spellStart"/>
      <w:r w:rsidRPr="00F13A86">
        <w:t>Lesaffre</w:t>
      </w:r>
      <w:proofErr w:type="spellEnd"/>
      <w:r w:rsidRPr="00F13A86">
        <w:t xml:space="preserve">, </w:t>
      </w:r>
      <w:proofErr w:type="spellStart"/>
      <w:r w:rsidRPr="00F13A86">
        <w:t>Marcq-en-Baroeul</w:t>
      </w:r>
      <w:proofErr w:type="spellEnd"/>
      <w:r w:rsidRPr="00F13A86">
        <w:t xml:space="preserve"> Cedex, France) at a dose of 1.6 g/L, a yeast selected for high-alcohol beer production, each previously activated in 0.5 L of </w:t>
      </w:r>
      <w:r>
        <w:t>wort</w:t>
      </w:r>
      <w:r w:rsidRPr="00F13A86">
        <w:t>. The fermentation process was carried out over 7 days at 23°C.</w:t>
      </w:r>
    </w:p>
    <w:p w14:paraId="3E61A385" w14:textId="77777777" w:rsidR="00F13A86" w:rsidRDefault="00F13A86" w:rsidP="00D126FA">
      <w:pPr>
        <w:pStyle w:val="CETBodytext"/>
      </w:pPr>
    </w:p>
    <w:p w14:paraId="4954DF78" w14:textId="3C1B965E" w:rsidR="00F13A86" w:rsidRPr="00F13A86" w:rsidRDefault="00F40F57" w:rsidP="00F13A86">
      <w:pPr>
        <w:pStyle w:val="CETBodytext"/>
        <w:rPr>
          <w:b/>
          <w:bCs/>
        </w:rPr>
      </w:pPr>
      <w:r>
        <w:rPr>
          <w:b/>
          <w:bCs/>
        </w:rPr>
        <w:t xml:space="preserve">2.4 </w:t>
      </w:r>
      <w:r w:rsidR="00F13A86" w:rsidRPr="00F13A86">
        <w:rPr>
          <w:b/>
          <w:bCs/>
        </w:rPr>
        <w:t>Distillation</w:t>
      </w:r>
      <w:r w:rsidR="00F13A86">
        <w:rPr>
          <w:b/>
          <w:bCs/>
        </w:rPr>
        <w:t xml:space="preserve"> of fermented wort</w:t>
      </w:r>
    </w:p>
    <w:p w14:paraId="2A3DFA0A" w14:textId="3B32978D" w:rsidR="00C047A8" w:rsidRDefault="00F13A86" w:rsidP="00F13A86">
      <w:pPr>
        <w:pStyle w:val="CETBodytext"/>
      </w:pPr>
      <w:r>
        <w:t>A simple distillation was carried out using a 5 L copper still (Maritas Stills, S.L. Palmeira, Ribeira - A Coruña, Spain) and a laboratory glass simple distiller with a 100 mL flask volume.</w:t>
      </w:r>
    </w:p>
    <w:p w14:paraId="7DB06D36" w14:textId="77777777" w:rsidR="00C047A8" w:rsidRDefault="00C047A8" w:rsidP="00F13A86">
      <w:pPr>
        <w:pStyle w:val="CETBodytext"/>
      </w:pPr>
    </w:p>
    <w:p w14:paraId="40910A8F" w14:textId="7F7B31DB" w:rsidR="00F13A86" w:rsidRPr="00F13A86" w:rsidRDefault="00F40F57" w:rsidP="00F13A86">
      <w:pPr>
        <w:pStyle w:val="CETBodytext"/>
        <w:rPr>
          <w:b/>
          <w:bCs/>
        </w:rPr>
      </w:pPr>
      <w:r>
        <w:rPr>
          <w:b/>
          <w:bCs/>
        </w:rPr>
        <w:t xml:space="preserve">2.5 </w:t>
      </w:r>
      <w:r w:rsidR="00F13A86" w:rsidRPr="00F13A86">
        <w:rPr>
          <w:b/>
          <w:bCs/>
        </w:rPr>
        <w:t xml:space="preserve">Ethanol </w:t>
      </w:r>
      <w:r w:rsidR="00C73157">
        <w:rPr>
          <w:b/>
          <w:bCs/>
        </w:rPr>
        <w:t>c</w:t>
      </w:r>
      <w:r w:rsidR="00F13A86" w:rsidRPr="00F13A86">
        <w:rPr>
          <w:b/>
          <w:bCs/>
        </w:rPr>
        <w:t>ontent</w:t>
      </w:r>
    </w:p>
    <w:p w14:paraId="0BE54CA2" w14:textId="12B3165D" w:rsidR="00F13A86" w:rsidRDefault="00F13A86" w:rsidP="00F13A86">
      <w:pPr>
        <w:pStyle w:val="CETBodytext"/>
      </w:pPr>
      <w:r>
        <w:t>An alcoholmeter was used to estimate the alcohol content of the alcoholic beverages. The alcoholmeter is calibrated for 20°C to determine the alcohol percentage in distilled liquors (AOAC Method 957.03)</w:t>
      </w:r>
      <w:r w:rsidR="00AD339C">
        <w:t>.</w:t>
      </w:r>
      <w:r w:rsidR="00AD339C">
        <w:fldChar w:fldCharType="begin" w:fldLock="1"/>
      </w:r>
      <w:r w:rsidR="00AD339C">
        <w:instrText>ADDIN CSL_CITATION {"citationItems":[{"id":"ITEM-1","itemData":{"author":[{"dropping-particle":"","family":"Icontec","given":"","non-dropping-particle":"","parse-names":false,"suffix":""}],"id":"ITEM-1","issued":{"date-parts":[["1997"]]},"title":"Norma Tecnica Colombiana NTC 4118:1997. Bebidas alcoholicas. Determinacion de metanol y de congeneres en bebidas alcoholicas y en alcohol etilico empleado en su elaboracion, mediante cromatrografia de gases.","type":"article"},"uris":["http://www.mendeley.com/documents/?uuid=50b97cb5-ae6c-4552-b97e-6937dbb3675c"]}],"mendeley":{"formattedCitation":"(Icontec, 1997)","plainTextFormattedCitation":"(Icontec, 1997)","previouslyFormattedCitation":"(Icontec, 1997)"},"properties":{"noteIndex":0},"schema":"https://github.com/citation-style-language/schema/raw/master/csl-citation.json"}</w:instrText>
      </w:r>
      <w:r w:rsidR="00AD339C">
        <w:fldChar w:fldCharType="separate"/>
      </w:r>
      <w:r w:rsidR="00AD339C" w:rsidRPr="00AD339C">
        <w:rPr>
          <w:noProof/>
        </w:rPr>
        <w:t>(</w:t>
      </w:r>
      <w:proofErr w:type="spellStart"/>
      <w:r w:rsidR="00AD339C" w:rsidRPr="00AD339C">
        <w:rPr>
          <w:noProof/>
        </w:rPr>
        <w:t>Icontec</w:t>
      </w:r>
      <w:proofErr w:type="spellEnd"/>
      <w:r w:rsidR="00AD339C" w:rsidRPr="00AD339C">
        <w:rPr>
          <w:noProof/>
        </w:rPr>
        <w:t>, 1997)</w:t>
      </w:r>
      <w:r w:rsidR="00AD339C">
        <w:fldChar w:fldCharType="end"/>
      </w:r>
      <w:r w:rsidR="00AD339C">
        <w:t xml:space="preserve"> </w:t>
      </w:r>
    </w:p>
    <w:p w14:paraId="039A3277" w14:textId="77777777" w:rsidR="00F13A86" w:rsidRPr="00F13A86" w:rsidRDefault="00F13A86" w:rsidP="00F13A86">
      <w:pPr>
        <w:pStyle w:val="CETBodytext"/>
        <w:rPr>
          <w:b/>
          <w:bCs/>
        </w:rPr>
      </w:pPr>
    </w:p>
    <w:p w14:paraId="1F5EEAC9" w14:textId="5E7CB609" w:rsidR="00F13A86" w:rsidRPr="00F13A86" w:rsidRDefault="00F40F57" w:rsidP="00F13A86">
      <w:pPr>
        <w:pStyle w:val="CETBodytext"/>
        <w:rPr>
          <w:b/>
          <w:bCs/>
        </w:rPr>
      </w:pPr>
      <w:r>
        <w:rPr>
          <w:b/>
          <w:bCs/>
        </w:rPr>
        <w:t xml:space="preserve">2.6 </w:t>
      </w:r>
      <w:r w:rsidR="00F13A86" w:rsidRPr="00F13A86">
        <w:rPr>
          <w:b/>
          <w:bCs/>
        </w:rPr>
        <w:t xml:space="preserve">Methanol </w:t>
      </w:r>
      <w:r w:rsidR="00C73157">
        <w:rPr>
          <w:b/>
          <w:bCs/>
        </w:rPr>
        <w:t>c</w:t>
      </w:r>
      <w:r w:rsidR="00F13A86" w:rsidRPr="00F13A86">
        <w:rPr>
          <w:b/>
          <w:bCs/>
        </w:rPr>
        <w:t>ontent</w:t>
      </w:r>
    </w:p>
    <w:p w14:paraId="1761EDE6" w14:textId="77777777" w:rsidR="00F13A86" w:rsidRDefault="00F13A86" w:rsidP="00F13A86">
      <w:pPr>
        <w:pStyle w:val="CETBodytext"/>
      </w:pPr>
    </w:p>
    <w:p w14:paraId="79199C84" w14:textId="28A162FD" w:rsidR="00F13A86" w:rsidRDefault="00F13A86" w:rsidP="00F13A86">
      <w:pPr>
        <w:pStyle w:val="CETBodytext"/>
      </w:pPr>
      <w:r>
        <w:t xml:space="preserve">Methanol content was analyzed using gas chromatography coupled with mass spectrometry, following the NTC 4118:1997 method </w:t>
      </w:r>
      <w:r w:rsidR="00AD339C">
        <w:fldChar w:fldCharType="begin" w:fldLock="1"/>
      </w:r>
      <w:r w:rsidR="00AD339C">
        <w:instrText>ADDIN CSL_CITATION {"citationItems":[{"id":"ITEM-1","itemData":{"author":[{"dropping-particle":"","family":"Icontec","given":"","non-dropping-particle":"","parse-names":false,"suffix":""}],"id":"ITEM-1","issued":{"date-parts":[["1997"]]},"title":"Norma Tecnica Colombiana NTC 4118:1997. Bebidas alcoholicas. Determinacion de metanol y de congeneres en bebidas alcoholicas y en alcohol etilico empleado en su elaboracion, mediante cromatrografia de gases.","type":"article"},"uris":["http://www.mendeley.com/documents/?uuid=50b97cb5-ae6c-4552-b97e-6937dbb3675c"]}],"mendeley":{"formattedCitation":"(Icontec, 1997)","plainTextFormattedCitation":"(Icontec, 1997)","previouslyFormattedCitation":"(Icontec, 1997)"},"properties":{"noteIndex":0},"schema":"https://github.com/citation-style-language/schema/raw/master/csl-citation.json"}</w:instrText>
      </w:r>
      <w:r w:rsidR="00AD339C">
        <w:fldChar w:fldCharType="separate"/>
      </w:r>
      <w:r w:rsidR="00AD339C" w:rsidRPr="00AD339C">
        <w:rPr>
          <w:noProof/>
        </w:rPr>
        <w:t>(Icontec, 1997)</w:t>
      </w:r>
      <w:r w:rsidR="00AD339C">
        <w:fldChar w:fldCharType="end"/>
      </w:r>
      <w:r>
        <w:t>.</w:t>
      </w:r>
    </w:p>
    <w:p w14:paraId="2FD4CED2" w14:textId="77777777" w:rsidR="00F13A86" w:rsidRDefault="00F13A86" w:rsidP="00F13A86">
      <w:pPr>
        <w:pStyle w:val="CETBodytext"/>
      </w:pPr>
    </w:p>
    <w:p w14:paraId="69DBD6E3" w14:textId="77777777" w:rsidR="000C5A17" w:rsidRDefault="000C5A17" w:rsidP="00F13A86">
      <w:pPr>
        <w:pStyle w:val="CETBodytext"/>
        <w:rPr>
          <w:b/>
          <w:bCs/>
        </w:rPr>
      </w:pPr>
    </w:p>
    <w:p w14:paraId="68DBF7CA" w14:textId="3207A1ED" w:rsidR="00F13A86" w:rsidRPr="000C5A17" w:rsidRDefault="00F40F57" w:rsidP="00F13A86">
      <w:pPr>
        <w:pStyle w:val="CETBodytext"/>
        <w:rPr>
          <w:b/>
          <w:bCs/>
        </w:rPr>
      </w:pPr>
      <w:r>
        <w:rPr>
          <w:b/>
          <w:bCs/>
        </w:rPr>
        <w:t xml:space="preserve">2.7 </w:t>
      </w:r>
      <w:r w:rsidR="00F13A86" w:rsidRPr="00F13A86">
        <w:rPr>
          <w:b/>
          <w:bCs/>
        </w:rPr>
        <w:t xml:space="preserve">Electronic </w:t>
      </w:r>
      <w:r w:rsidR="00C73157">
        <w:rPr>
          <w:b/>
          <w:bCs/>
        </w:rPr>
        <w:t>T</w:t>
      </w:r>
      <w:r w:rsidR="00F13A86" w:rsidRPr="00F13A86">
        <w:rPr>
          <w:b/>
          <w:bCs/>
        </w:rPr>
        <w:t>ongue</w:t>
      </w:r>
    </w:p>
    <w:p w14:paraId="63CB49FB" w14:textId="7523217E" w:rsidR="00F13A86" w:rsidRDefault="00F13A86" w:rsidP="00F13A86">
      <w:pPr>
        <w:pStyle w:val="CETBodytext"/>
      </w:pPr>
      <w:r>
        <w:t xml:space="preserve">The analysis was performed using the SA402B Taste Sensing System (INSENT Japan) electronic tongue, which is composed of a system of electrochemical sensors. These sensors have different types of artificial lipid membranes to determine the quality of food and beverages in terms of taste variability, following the same logic of human perception. The electronic tongue is equipped with </w:t>
      </w:r>
      <w:r w:rsidR="0012133D" w:rsidRPr="003A2BA8">
        <w:t xml:space="preserve">5 </w:t>
      </w:r>
      <w:r>
        <w:t xml:space="preserve">sensors (taste sensors) capable of responding similarly to molecules characterized by the same taste note (Table </w:t>
      </w:r>
      <w:r w:rsidR="001808B8">
        <w:t>2</w:t>
      </w:r>
      <w:r>
        <w:t xml:space="preserve">) </w:t>
      </w:r>
      <w:r w:rsidR="00AD339C">
        <w:fldChar w:fldCharType="begin" w:fldLock="1"/>
      </w:r>
      <w:r w:rsidR="000A4F1F">
        <w:instrText>ADDIN CSL_CITATION {"citationItems":[{"id":"ITEM-1","itemData":{"DOI":"10.3390/s20030686","ISBN":"2201600406","ISSN":"14248220","PMID":"32012652","abstract":"As a taste bionic system, electronic tongues can be used to derive taste information for different types of food. On this basis, we have carried forward the work by making it, in addition to the ability of accurately distinguish samples, be more expressive by speaking evaluative language like human beings. Thus, this paper demonstrates the correlation between the qualitative digital output of the taste bionic system and the fuzzy evaluation language that conform to the human perception mode. First, through principal component analysis (PCA), backward cloud generator and forward cloud generator, two-dimensional cloud droplet groups of different flavor information were established by using liquor taste data collected by electronic tongue. Second, the frequency and order of the evaluation words for different flavor of liquor were obtained by counting and analyzing the data appeared in the artificial sensory evaluation experiment. According to the frequency and order of words, the cloud droplet range corresponding to each word was calculated in the cloud drop group. Finally, the fuzzy evaluations that originated from the eight groups of liquor data with different flavor were compared with the artificial sense, and the results indicated that the model developed in this work is capable of outputting fuzzy evaluation that is consistent with human perception rather than digital output. To sum up, this method enabled the electronic tongue system to generate an output, which conforms to human’s descriptive language, making food detection technology a step closer to human perception.","author":[{"dropping-particle":"","family":"Liu","given":"Jingjing","non-dropping-particle":"","parse-names":false,"suffix":""},{"dropping-particle":"","family":"Zuo","given":"Mingxu","non-dropping-particle":"","parse-names":false,"suffix":""},{"dropping-particle":"","family":"Low","given":"Sze Shin","non-dropping-particle":"","parse-names":false,"suffix":""},{"dropping-particle":"","family":"Xu","given":"Ning","non-dropping-particle":"","parse-names":false,"suffix":""},{"dropping-particle":"","family":"Chen","given":"Zhiqing","non-dropping-particle":"","parse-names":false,"suffix":""},{"dropping-particle":"","family":"Lv","given":"Chuang","non-dropping-particle":"","parse-names":false,"suffix":""},{"dropping-particle":"","family":"Cui","given":"Ying","non-dropping-particle":"","parse-names":false,"suffix":""},{"dropping-particle":"","family":"Shi","given":"Yan","non-dropping-particle":"","parse-names":false,"suffix":""},{"dropping-particle":"","family":"Men","given":"Hong","non-dropping-particle":"","parse-names":false,"suffix":""}],"container-title":"Sensors (Switzerland)","id":"ITEM-1","issue":"3","issued":{"date-parts":[["2020"]]},"title":"Fuzzy evaluation output of taste information for liquor using electronic tongue based on cloud model","type":"article-journal","volume":"20"},"uris":["http://www.mendeley.com/documents/?uuid=763f552d-c7d4-4ff9-8f6f-82d1fbab2816"]}],"mendeley":{"formattedCitation":"(Liu &lt;i&gt;et al.&lt;/i&gt;, 2020)","plainTextFormattedCitation":"(Liu et al., 2020)","previouslyFormattedCitation":"(Liu &lt;i&gt;et al.&lt;/i&gt;, 2020)"},"properties":{"noteIndex":0},"schema":"https://github.com/citation-style-language/schema/raw/master/csl-citation.json"}</w:instrText>
      </w:r>
      <w:r w:rsidR="00AD339C">
        <w:fldChar w:fldCharType="separate"/>
      </w:r>
      <w:r w:rsidR="000A4F1F" w:rsidRPr="000A4F1F">
        <w:rPr>
          <w:noProof/>
        </w:rPr>
        <w:t xml:space="preserve">(Liu </w:t>
      </w:r>
      <w:r w:rsidR="000A4F1F" w:rsidRPr="000A4F1F">
        <w:rPr>
          <w:i/>
          <w:noProof/>
        </w:rPr>
        <w:t>et al.</w:t>
      </w:r>
      <w:r w:rsidR="000A4F1F" w:rsidRPr="000A4F1F">
        <w:rPr>
          <w:noProof/>
        </w:rPr>
        <w:t>, 2020)</w:t>
      </w:r>
      <w:r w:rsidR="00AD339C">
        <w:fldChar w:fldCharType="end"/>
      </w:r>
      <w:r>
        <w:t>. For the analysis of these distillates, the ethanol content was adjusted to 2.5% to ensure equal values for all samples, and three replicas were made for each sample.</w:t>
      </w:r>
    </w:p>
    <w:p w14:paraId="578B2BFC" w14:textId="77777777" w:rsidR="00921143" w:rsidRDefault="00F13A86" w:rsidP="00F13A86">
      <w:pPr>
        <w:pStyle w:val="CETBodytext"/>
      </w:pPr>
      <w:r>
        <w:t>To validate the method and the discriminative capacity of the electronic tongue, two different distillations were performed: one using a copper alembic and the other in a 100 mL laboratory glass distiller.</w:t>
      </w:r>
      <w:r w:rsidR="00921143">
        <w:t xml:space="preserve"> </w:t>
      </w:r>
    </w:p>
    <w:p w14:paraId="627CAD9B" w14:textId="2639D83B" w:rsidR="00F13A86" w:rsidRDefault="00921143" w:rsidP="00F13A86">
      <w:pPr>
        <w:pStyle w:val="CETBodytext"/>
      </w:pPr>
      <w:r>
        <w:t xml:space="preserve">Electronic tongue analysis was performed as reported by </w:t>
      </w:r>
      <w:r w:rsidR="003E6A8E">
        <w:t xml:space="preserve">the work of </w:t>
      </w:r>
      <w:r w:rsidR="00751AD9">
        <w:fldChar w:fldCharType="begin" w:fldLock="1"/>
      </w:r>
      <w:r w:rsidR="00671511">
        <w:instrText>ADDIN CSL_CITATION {"citationItems":[{"id":"ITEM-1","itemData":{"author":[{"dropping-particle":"","family":"M. Laureati, S. Buratti, A. Bassoli, G. Borgonovo","given":"E. Pagliarini","non-dropping-particle":"","parse-names":false,"suffix":""}],"container-title":"Food Research International","id":"ITEM-1","issue":"4","issued":{"date-parts":[["2010"]]},"page":"959-964","title":"Discrimination and characterisation of three cultivars of Perilla frutescens by means of sensory descriptors and electronic nose and tongue analysis","type":"article-journal","volume":"43"},"uris":["http://www.mendeley.com/documents/?uuid=2576f527-2947-491b-a8ff-9360bdd746db"]}],"mendeley":{"formattedCitation":"(M. Laureati, S. Buratti, A. Bassoli, G. Borgonovo, 2010)","manualFormatting":"M. Laureati, S. Buratti, A. Bassoli, G. Borgonovo, 2010)","plainTextFormattedCitation":"(M. Laureati, S. Buratti, A. Bassoli, G. Borgonovo, 2010)","previouslyFormattedCitation":"(M. Laureati, S. Buratti, A. Bassoli, G. Borgonovo, 2010)"},"properties":{"noteIndex":0},"schema":"https://github.com/citation-style-language/schema/raw/master/csl-citation.json"}</w:instrText>
      </w:r>
      <w:r w:rsidR="00751AD9">
        <w:fldChar w:fldCharType="separate"/>
      </w:r>
      <w:r w:rsidR="00751AD9" w:rsidRPr="00751AD9">
        <w:rPr>
          <w:noProof/>
        </w:rPr>
        <w:t>M. Laureati, S. Buratti, A. Bassoli, G. Borgonovo, 2010)</w:t>
      </w:r>
      <w:r w:rsidR="00751AD9">
        <w:fldChar w:fldCharType="end"/>
      </w:r>
      <w:r w:rsidR="003E6A8E">
        <w:t>.</w:t>
      </w:r>
    </w:p>
    <w:p w14:paraId="67BA6BBB" w14:textId="21B5EBD8" w:rsidR="00F13A86" w:rsidRDefault="00F13A86" w:rsidP="005679CE">
      <w:pPr>
        <w:pStyle w:val="CETBodytext"/>
      </w:pPr>
      <w:r>
        <w:t>The data obtained from the electronic tongue analysis were processed using Principal Component Analysis (PCA) with XLSTAT statistical software</w:t>
      </w:r>
      <w:r w:rsidR="00AD339C">
        <w:t xml:space="preserve"> </w:t>
      </w:r>
      <w:r w:rsidR="00AD339C">
        <w:fldChar w:fldCharType="begin" w:fldLock="1"/>
      </w:r>
      <w:r w:rsidR="000A4F1F">
        <w:instrText>ADDIN CSL_CITATION {"citationItems":[{"id":"ITEM-1","itemData":{"DOI":"10.3390/s20030686","ISBN":"2201600406","ISSN":"14248220","PMID":"32012652","abstract":"As a taste bionic system, electronic tongues can be used to derive taste information for different types of food. On this basis, we have carried forward the work by making it, in addition to the ability of accurately distinguish samples, be more expressive by speaking evaluative language like human beings. Thus, this paper demonstrates the correlation between the qualitative digital output of the taste bionic system and the fuzzy evaluation language that conform to the human perception mode. First, through principal component analysis (PCA), backward cloud generator and forward cloud generator, two-dimensional cloud droplet groups of different flavor information were established by using liquor taste data collected by electronic tongue. Second, the frequency and order of the evaluation words for different flavor of liquor were obtained by counting and analyzing the data appeared in the artificial sensory evaluation experiment. According to the frequency and order of words, the cloud droplet range corresponding to each word was calculated in the cloud drop group. Finally, the fuzzy evaluations that originated from the eight groups of liquor data with different flavor were compared with the artificial sense, and the results indicated that the model developed in this work is capable of outputting fuzzy evaluation that is consistent with human perception rather than digital output. To sum up, this method enabled the electronic tongue system to generate an output, which conforms to human’s descriptive language, making food detection technology a step closer to human perception.","author":[{"dropping-particle":"","family":"Liu","given":"Jingjing","non-dropping-particle":"","parse-names":false,"suffix":""},{"dropping-particle":"","family":"Zuo","given":"Mingxu","non-dropping-particle":"","parse-names":false,"suffix":""},{"dropping-particle":"","family":"Low","given":"Sze Shin","non-dropping-particle":"","parse-names":false,"suffix":""},{"dropping-particle":"","family":"Xu","given":"Ning","non-dropping-particle":"","parse-names":false,"suffix":""},{"dropping-particle":"","family":"Chen","given":"Zhiqing","non-dropping-particle":"","parse-names":false,"suffix":""},{"dropping-particle":"","family":"Lv","given":"Chuang","non-dropping-particle":"","parse-names":false,"suffix":""},{"dropping-particle":"","family":"Cui","given":"Ying","non-dropping-particle":"","parse-names":false,"suffix":""},{"dropping-particle":"","family":"Shi","given":"Yan","non-dropping-particle":"","parse-names":false,"suffix":""},{"dropping-particle":"","family":"Men","given":"Hong","non-dropping-particle":"","parse-names":false,"suffix":""}],"container-title":"Sensors (Switzerland)","id":"ITEM-1","issue":"3","issued":{"date-parts":[["2020"]]},"title":"Fuzzy evaluation output of taste information for liquor using electronic tongue based on cloud model","type":"article-journal","volume":"20"},"uris":["http://www.mendeley.com/documents/?uuid=763f552d-c7d4-4ff9-8f6f-82d1fbab2816"]}],"mendeley":{"formattedCitation":"(Liu &lt;i&gt;et al.&lt;/i&gt;, 2020)","plainTextFormattedCitation":"(Liu et al., 2020)","previouslyFormattedCitation":"(Liu &lt;i&gt;et al.&lt;/i&gt;, 2020)"},"properties":{"noteIndex":0},"schema":"https://github.com/citation-style-language/schema/raw/master/csl-citation.json"}</w:instrText>
      </w:r>
      <w:r w:rsidR="00AD339C">
        <w:fldChar w:fldCharType="separate"/>
      </w:r>
      <w:r w:rsidR="000A4F1F" w:rsidRPr="000A4F1F">
        <w:rPr>
          <w:noProof/>
        </w:rPr>
        <w:t xml:space="preserve">(Liu </w:t>
      </w:r>
      <w:r w:rsidR="000A4F1F" w:rsidRPr="000A4F1F">
        <w:rPr>
          <w:i/>
          <w:noProof/>
        </w:rPr>
        <w:t>et al.</w:t>
      </w:r>
      <w:r w:rsidR="000A4F1F" w:rsidRPr="000A4F1F">
        <w:rPr>
          <w:noProof/>
        </w:rPr>
        <w:t>, 2020)</w:t>
      </w:r>
      <w:r w:rsidR="00AD339C">
        <w:fldChar w:fldCharType="end"/>
      </w:r>
      <w:r>
        <w:t xml:space="preserve">. </w:t>
      </w:r>
    </w:p>
    <w:p w14:paraId="7227DF94" w14:textId="200F1CC4" w:rsidR="00106842" w:rsidRPr="00B57B36" w:rsidRDefault="00106842" w:rsidP="00106842">
      <w:pPr>
        <w:pStyle w:val="CETTabletitle"/>
      </w:pPr>
      <w:r w:rsidRPr="00B57B36">
        <w:t xml:space="preserve">Table </w:t>
      </w:r>
      <w:r w:rsidR="00877D84">
        <w:t>2</w:t>
      </w:r>
      <w:r w:rsidRPr="00B57B36">
        <w:t xml:space="preserve">: </w:t>
      </w:r>
      <w:r w:rsidRPr="00106842">
        <w:t xml:space="preserve">Electronic tongue sensors and corresponding </w:t>
      </w:r>
      <w:r w:rsidR="00542623">
        <w:t>taste</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851"/>
        <w:gridCol w:w="1843"/>
        <w:gridCol w:w="2812"/>
        <w:gridCol w:w="23"/>
        <w:gridCol w:w="20"/>
      </w:tblGrid>
      <w:tr w:rsidR="00106842" w:rsidRPr="00B57B36" w14:paraId="37DFFBF8" w14:textId="77777777" w:rsidTr="003A2BA8">
        <w:tc>
          <w:tcPr>
            <w:tcW w:w="851" w:type="dxa"/>
            <w:tcBorders>
              <w:top w:val="single" w:sz="12" w:space="0" w:color="008000"/>
              <w:bottom w:val="single" w:sz="6" w:space="0" w:color="008000"/>
            </w:tcBorders>
            <w:shd w:val="clear" w:color="auto" w:fill="FFFFFF"/>
          </w:tcPr>
          <w:p w14:paraId="7EB912B2" w14:textId="1617D708" w:rsidR="00106842" w:rsidRPr="00B57B36" w:rsidRDefault="003A2BA8" w:rsidP="00F86A4D">
            <w:pPr>
              <w:pStyle w:val="CETBodytext"/>
              <w:rPr>
                <w:lang w:val="en-GB"/>
              </w:rPr>
            </w:pPr>
            <w:r>
              <w:rPr>
                <w:lang w:val="en-GB"/>
              </w:rPr>
              <w:t>S</w:t>
            </w:r>
            <w:r w:rsidR="00106842" w:rsidRPr="00106842">
              <w:rPr>
                <w:lang w:val="en-GB"/>
              </w:rPr>
              <w:t>ensor</w:t>
            </w:r>
            <w:r w:rsidR="00542623">
              <w:rPr>
                <w:lang w:val="en-GB"/>
              </w:rPr>
              <w:t>s</w:t>
            </w:r>
            <w:r w:rsidR="00106842">
              <w:rPr>
                <w:lang w:val="en-GB"/>
              </w:rPr>
              <w:t xml:space="preserve"> </w:t>
            </w:r>
            <w:r w:rsidR="00106842" w:rsidRPr="00B57B36">
              <w:rPr>
                <w:lang w:val="en-GB"/>
              </w:rPr>
              <w:t xml:space="preserve"> </w:t>
            </w:r>
          </w:p>
        </w:tc>
        <w:tc>
          <w:tcPr>
            <w:tcW w:w="1843" w:type="dxa"/>
            <w:tcBorders>
              <w:top w:val="single" w:sz="12" w:space="0" w:color="008000"/>
              <w:bottom w:val="single" w:sz="6" w:space="0" w:color="008000"/>
            </w:tcBorders>
            <w:shd w:val="clear" w:color="auto" w:fill="FFFFFF"/>
          </w:tcPr>
          <w:p w14:paraId="1F0E4E76" w14:textId="05BC2606" w:rsidR="00542623" w:rsidRDefault="00542623" w:rsidP="00F86A4D">
            <w:pPr>
              <w:pStyle w:val="CETBodytext"/>
              <w:rPr>
                <w:lang w:val="en-GB"/>
              </w:rPr>
            </w:pPr>
            <w:r>
              <w:rPr>
                <w:lang w:val="en-GB"/>
              </w:rPr>
              <w:t>Taste</w:t>
            </w:r>
            <w:r w:rsidRPr="00106842">
              <w:rPr>
                <w:lang w:val="en-GB"/>
              </w:rPr>
              <w:t xml:space="preserve"> </w:t>
            </w:r>
            <w:r w:rsidR="00106842" w:rsidRPr="00106842">
              <w:rPr>
                <w:lang w:val="en-GB"/>
              </w:rPr>
              <w:t xml:space="preserve">Information </w:t>
            </w:r>
          </w:p>
          <w:p w14:paraId="1D0F2017" w14:textId="02E4D831" w:rsidR="00106842" w:rsidRPr="00B57B36" w:rsidRDefault="00106842" w:rsidP="00F86A4D">
            <w:pPr>
              <w:pStyle w:val="CETBodytext"/>
              <w:rPr>
                <w:lang w:val="en-GB"/>
              </w:rPr>
            </w:pPr>
            <w:r w:rsidRPr="00106842">
              <w:rPr>
                <w:lang w:val="en-GB"/>
              </w:rPr>
              <w:t>from Relative Value</w:t>
            </w:r>
          </w:p>
        </w:tc>
        <w:tc>
          <w:tcPr>
            <w:tcW w:w="2812" w:type="dxa"/>
            <w:tcBorders>
              <w:top w:val="single" w:sz="12" w:space="0" w:color="008000"/>
              <w:bottom w:val="single" w:sz="6" w:space="0" w:color="008000"/>
            </w:tcBorders>
            <w:shd w:val="clear" w:color="auto" w:fill="FFFFFF"/>
          </w:tcPr>
          <w:p w14:paraId="5C093065" w14:textId="59A9F929" w:rsidR="00542623" w:rsidRDefault="00542623">
            <w:pPr>
              <w:pStyle w:val="CETBodytext"/>
              <w:rPr>
                <w:lang w:val="en-GB"/>
              </w:rPr>
            </w:pPr>
            <w:r>
              <w:rPr>
                <w:lang w:val="en-GB"/>
              </w:rPr>
              <w:t>Taste</w:t>
            </w:r>
            <w:r w:rsidR="003A2BA8">
              <w:rPr>
                <w:lang w:val="en-GB"/>
              </w:rPr>
              <w:t xml:space="preserve"> </w:t>
            </w:r>
            <w:r w:rsidR="00106842" w:rsidRPr="00106842">
              <w:rPr>
                <w:lang w:val="en-GB"/>
              </w:rPr>
              <w:t xml:space="preserve">Information </w:t>
            </w:r>
          </w:p>
          <w:p w14:paraId="684EDBB5" w14:textId="1D004378" w:rsidR="00106842" w:rsidRPr="00B57B36" w:rsidRDefault="00542623">
            <w:pPr>
              <w:pStyle w:val="CETBodytext"/>
              <w:rPr>
                <w:lang w:val="en-GB"/>
              </w:rPr>
            </w:pPr>
            <w:r>
              <w:rPr>
                <w:lang w:val="en-GB"/>
              </w:rPr>
              <w:t>f</w:t>
            </w:r>
            <w:r w:rsidR="00106842" w:rsidRPr="00106842">
              <w:rPr>
                <w:lang w:val="en-GB"/>
              </w:rPr>
              <w:t>rom CPA Value</w:t>
            </w:r>
            <w:r w:rsidR="00106842">
              <w:rPr>
                <w:lang w:val="en-GB"/>
              </w:rPr>
              <w:t xml:space="preserve">                </w:t>
            </w:r>
          </w:p>
        </w:tc>
        <w:tc>
          <w:tcPr>
            <w:tcW w:w="23" w:type="dxa"/>
            <w:tcBorders>
              <w:top w:val="single" w:sz="12" w:space="0" w:color="008000"/>
              <w:bottom w:val="single" w:sz="6" w:space="0" w:color="008000"/>
            </w:tcBorders>
            <w:shd w:val="clear" w:color="auto" w:fill="FFFFFF"/>
          </w:tcPr>
          <w:p w14:paraId="344FA84A" w14:textId="77777777" w:rsidR="00106842" w:rsidRPr="00B57B36" w:rsidRDefault="00106842" w:rsidP="00F86A4D">
            <w:pPr>
              <w:pStyle w:val="CETBodytext"/>
              <w:ind w:right="-1"/>
              <w:rPr>
                <w:rFonts w:cs="Arial"/>
                <w:szCs w:val="18"/>
                <w:lang w:val="en-GB"/>
              </w:rPr>
            </w:pPr>
          </w:p>
        </w:tc>
        <w:tc>
          <w:tcPr>
            <w:tcW w:w="20" w:type="dxa"/>
            <w:tcBorders>
              <w:top w:val="single" w:sz="12" w:space="0" w:color="008000"/>
              <w:bottom w:val="single" w:sz="6" w:space="0" w:color="008000"/>
            </w:tcBorders>
            <w:shd w:val="clear" w:color="auto" w:fill="FFFFFF"/>
          </w:tcPr>
          <w:p w14:paraId="6EF7EA2F" w14:textId="77777777" w:rsidR="00106842" w:rsidRPr="00B57B36" w:rsidRDefault="00106842" w:rsidP="00F86A4D">
            <w:pPr>
              <w:pStyle w:val="CETBodytext"/>
              <w:ind w:right="-1"/>
              <w:rPr>
                <w:rFonts w:cs="Arial"/>
                <w:szCs w:val="18"/>
                <w:lang w:val="en-GB"/>
              </w:rPr>
            </w:pPr>
          </w:p>
        </w:tc>
      </w:tr>
      <w:tr w:rsidR="00106842" w:rsidRPr="00B57B36" w14:paraId="15A7A081" w14:textId="77777777" w:rsidTr="003A2BA8">
        <w:tc>
          <w:tcPr>
            <w:tcW w:w="851" w:type="dxa"/>
            <w:shd w:val="clear" w:color="auto" w:fill="FFFFFF"/>
          </w:tcPr>
          <w:p w14:paraId="26D22C57" w14:textId="56CEC111" w:rsidR="00106842" w:rsidRPr="00B57B36" w:rsidRDefault="00106842" w:rsidP="00F86A4D">
            <w:pPr>
              <w:pStyle w:val="CETBodytext"/>
              <w:rPr>
                <w:lang w:val="en-GB"/>
              </w:rPr>
            </w:pPr>
            <w:r w:rsidRPr="00106842">
              <w:rPr>
                <w:lang w:val="en-GB"/>
              </w:rPr>
              <w:t>AAE</w:t>
            </w:r>
          </w:p>
        </w:tc>
        <w:tc>
          <w:tcPr>
            <w:tcW w:w="1843" w:type="dxa"/>
            <w:shd w:val="clear" w:color="auto" w:fill="FFFFFF"/>
          </w:tcPr>
          <w:p w14:paraId="67FBD7E0" w14:textId="5661B561" w:rsidR="00106842" w:rsidRPr="00B57B36" w:rsidRDefault="00106842" w:rsidP="00F86A4D">
            <w:pPr>
              <w:pStyle w:val="CETBodytext"/>
              <w:rPr>
                <w:lang w:val="en-GB"/>
              </w:rPr>
            </w:pPr>
            <w:r w:rsidRPr="00106842">
              <w:rPr>
                <w:lang w:val="en-GB"/>
              </w:rPr>
              <w:t>Umami</w:t>
            </w:r>
          </w:p>
        </w:tc>
        <w:tc>
          <w:tcPr>
            <w:tcW w:w="2812" w:type="dxa"/>
            <w:shd w:val="clear" w:color="auto" w:fill="FFFFFF"/>
          </w:tcPr>
          <w:p w14:paraId="43959726" w14:textId="4B1CB887" w:rsidR="00106842" w:rsidRPr="00B57B36" w:rsidRDefault="00106842" w:rsidP="00F86A4D">
            <w:pPr>
              <w:pStyle w:val="CETBodytext"/>
              <w:rPr>
                <w:lang w:val="en-GB"/>
              </w:rPr>
            </w:pPr>
            <w:r w:rsidRPr="00106842">
              <w:rPr>
                <w:lang w:val="en-GB"/>
              </w:rPr>
              <w:t>Richness</w:t>
            </w:r>
          </w:p>
        </w:tc>
        <w:tc>
          <w:tcPr>
            <w:tcW w:w="23" w:type="dxa"/>
            <w:shd w:val="clear" w:color="auto" w:fill="FFFFFF"/>
          </w:tcPr>
          <w:p w14:paraId="5CD4606C" w14:textId="77777777" w:rsidR="00106842" w:rsidRPr="00B57B36" w:rsidRDefault="00106842" w:rsidP="00F86A4D">
            <w:pPr>
              <w:pStyle w:val="CETBodytext"/>
              <w:ind w:right="-1"/>
              <w:rPr>
                <w:rFonts w:cs="Arial"/>
                <w:szCs w:val="18"/>
                <w:lang w:val="en-GB"/>
              </w:rPr>
            </w:pPr>
          </w:p>
        </w:tc>
        <w:tc>
          <w:tcPr>
            <w:tcW w:w="20" w:type="dxa"/>
            <w:shd w:val="clear" w:color="auto" w:fill="FFFFFF"/>
          </w:tcPr>
          <w:p w14:paraId="5A840459" w14:textId="77777777" w:rsidR="00106842" w:rsidRPr="00B57B36" w:rsidRDefault="00106842" w:rsidP="00F86A4D">
            <w:pPr>
              <w:pStyle w:val="CETBodytext"/>
              <w:ind w:right="-1"/>
              <w:rPr>
                <w:rFonts w:cs="Arial"/>
                <w:szCs w:val="18"/>
                <w:lang w:val="en-GB"/>
              </w:rPr>
            </w:pPr>
          </w:p>
        </w:tc>
      </w:tr>
      <w:tr w:rsidR="00106842" w:rsidRPr="00B57B36" w14:paraId="1F650A53" w14:textId="77777777" w:rsidTr="003A2BA8">
        <w:tc>
          <w:tcPr>
            <w:tcW w:w="851" w:type="dxa"/>
            <w:shd w:val="clear" w:color="auto" w:fill="FFFFFF"/>
          </w:tcPr>
          <w:p w14:paraId="78D634BE" w14:textId="42159C27" w:rsidR="00106842" w:rsidRPr="00B57B36" w:rsidRDefault="00106842" w:rsidP="00F86A4D">
            <w:pPr>
              <w:pStyle w:val="CETBodytext"/>
              <w:rPr>
                <w:lang w:val="en-GB"/>
              </w:rPr>
            </w:pPr>
            <w:r w:rsidRPr="00106842">
              <w:rPr>
                <w:lang w:val="en-GB"/>
              </w:rPr>
              <w:t>CT0</w:t>
            </w:r>
          </w:p>
        </w:tc>
        <w:tc>
          <w:tcPr>
            <w:tcW w:w="1843" w:type="dxa"/>
            <w:shd w:val="clear" w:color="auto" w:fill="FFFFFF"/>
          </w:tcPr>
          <w:p w14:paraId="4CB2659E" w14:textId="673B5080" w:rsidR="00106842" w:rsidRPr="00B57B36" w:rsidRDefault="00542623" w:rsidP="00F86A4D">
            <w:pPr>
              <w:pStyle w:val="CETBodytext"/>
              <w:rPr>
                <w:lang w:val="en-GB"/>
              </w:rPr>
            </w:pPr>
            <w:r w:rsidRPr="00106842">
              <w:rPr>
                <w:lang w:val="en-GB"/>
              </w:rPr>
              <w:t>Salt</w:t>
            </w:r>
            <w:r>
              <w:rPr>
                <w:lang w:val="en-GB"/>
              </w:rPr>
              <w:t>iness</w:t>
            </w:r>
          </w:p>
        </w:tc>
        <w:tc>
          <w:tcPr>
            <w:tcW w:w="2812" w:type="dxa"/>
            <w:shd w:val="clear" w:color="auto" w:fill="FFFFFF"/>
          </w:tcPr>
          <w:p w14:paraId="72F13D54" w14:textId="39B24AD8" w:rsidR="00106842" w:rsidRPr="00B57B36" w:rsidRDefault="00106842" w:rsidP="00F86A4D">
            <w:pPr>
              <w:pStyle w:val="CETBodytext"/>
              <w:rPr>
                <w:lang w:val="en-GB"/>
              </w:rPr>
            </w:pPr>
            <w:r>
              <w:rPr>
                <w:lang w:val="en-GB"/>
              </w:rPr>
              <w:t xml:space="preserve">None </w:t>
            </w:r>
          </w:p>
        </w:tc>
        <w:tc>
          <w:tcPr>
            <w:tcW w:w="23" w:type="dxa"/>
            <w:shd w:val="clear" w:color="auto" w:fill="FFFFFF"/>
          </w:tcPr>
          <w:p w14:paraId="2BCAC50A" w14:textId="77777777" w:rsidR="00106842" w:rsidRPr="00B57B36" w:rsidRDefault="00106842" w:rsidP="00F86A4D">
            <w:pPr>
              <w:pStyle w:val="CETBodytext"/>
              <w:ind w:right="-1"/>
              <w:rPr>
                <w:rFonts w:cs="Arial"/>
                <w:szCs w:val="18"/>
                <w:lang w:val="en-GB"/>
              </w:rPr>
            </w:pPr>
          </w:p>
        </w:tc>
        <w:tc>
          <w:tcPr>
            <w:tcW w:w="20" w:type="dxa"/>
            <w:shd w:val="clear" w:color="auto" w:fill="FFFFFF"/>
          </w:tcPr>
          <w:p w14:paraId="1CF5DE7C" w14:textId="77777777" w:rsidR="00106842" w:rsidRPr="00B57B36" w:rsidRDefault="00106842" w:rsidP="00F86A4D">
            <w:pPr>
              <w:pStyle w:val="CETBodytext"/>
              <w:ind w:right="-1"/>
              <w:rPr>
                <w:rFonts w:cs="Arial"/>
                <w:szCs w:val="18"/>
                <w:lang w:val="en-GB"/>
              </w:rPr>
            </w:pPr>
          </w:p>
        </w:tc>
      </w:tr>
      <w:tr w:rsidR="00106842" w:rsidRPr="00B57B36" w14:paraId="3440DE53" w14:textId="77777777" w:rsidTr="003A2BA8">
        <w:tc>
          <w:tcPr>
            <w:tcW w:w="851" w:type="dxa"/>
            <w:shd w:val="clear" w:color="auto" w:fill="FFFFFF"/>
          </w:tcPr>
          <w:p w14:paraId="3FC6D11E" w14:textId="010C870C" w:rsidR="00106842" w:rsidRPr="00B57B36" w:rsidRDefault="00106842" w:rsidP="00F86A4D">
            <w:pPr>
              <w:pStyle w:val="CETBodytext"/>
              <w:rPr>
                <w:lang w:val="en-GB"/>
              </w:rPr>
            </w:pPr>
            <w:r w:rsidRPr="00106842">
              <w:rPr>
                <w:lang w:val="en-GB"/>
              </w:rPr>
              <w:t>CA0</w:t>
            </w:r>
          </w:p>
        </w:tc>
        <w:tc>
          <w:tcPr>
            <w:tcW w:w="1843" w:type="dxa"/>
            <w:shd w:val="clear" w:color="auto" w:fill="FFFFFF"/>
          </w:tcPr>
          <w:p w14:paraId="4951321B" w14:textId="73C7A49E" w:rsidR="00106842" w:rsidRPr="00B57B36" w:rsidRDefault="00542623" w:rsidP="00F86A4D">
            <w:pPr>
              <w:pStyle w:val="CETBodytext"/>
              <w:rPr>
                <w:lang w:val="en-GB"/>
              </w:rPr>
            </w:pPr>
            <w:r>
              <w:rPr>
                <w:lang w:val="en-GB"/>
              </w:rPr>
              <w:t>Sournes</w:t>
            </w:r>
            <w:r w:rsidR="003A2BA8">
              <w:rPr>
                <w:lang w:val="en-GB"/>
              </w:rPr>
              <w:t>s</w:t>
            </w:r>
          </w:p>
        </w:tc>
        <w:tc>
          <w:tcPr>
            <w:tcW w:w="2812" w:type="dxa"/>
            <w:shd w:val="clear" w:color="auto" w:fill="FFFFFF"/>
          </w:tcPr>
          <w:p w14:paraId="4AFC1737" w14:textId="30C3CB87" w:rsidR="00106842" w:rsidRPr="00B57B36" w:rsidRDefault="00106842" w:rsidP="00F86A4D">
            <w:pPr>
              <w:pStyle w:val="CETBodytext"/>
              <w:rPr>
                <w:lang w:val="en-GB"/>
              </w:rPr>
            </w:pPr>
            <w:r>
              <w:rPr>
                <w:lang w:val="en-GB"/>
              </w:rPr>
              <w:t xml:space="preserve">None </w:t>
            </w:r>
          </w:p>
        </w:tc>
        <w:tc>
          <w:tcPr>
            <w:tcW w:w="23" w:type="dxa"/>
            <w:shd w:val="clear" w:color="auto" w:fill="FFFFFF"/>
          </w:tcPr>
          <w:p w14:paraId="441377EA" w14:textId="77777777" w:rsidR="00106842" w:rsidRPr="00B57B36" w:rsidRDefault="00106842" w:rsidP="00F86A4D">
            <w:pPr>
              <w:pStyle w:val="CETBodytext"/>
              <w:ind w:right="-1"/>
              <w:rPr>
                <w:rFonts w:cs="Arial"/>
                <w:szCs w:val="18"/>
                <w:lang w:val="en-GB"/>
              </w:rPr>
            </w:pPr>
          </w:p>
        </w:tc>
        <w:tc>
          <w:tcPr>
            <w:tcW w:w="20" w:type="dxa"/>
            <w:shd w:val="clear" w:color="auto" w:fill="FFFFFF"/>
          </w:tcPr>
          <w:p w14:paraId="39EC2B2B" w14:textId="77777777" w:rsidR="00106842" w:rsidRPr="00B57B36" w:rsidRDefault="00106842" w:rsidP="00F86A4D">
            <w:pPr>
              <w:pStyle w:val="CETBodytext"/>
              <w:ind w:right="-1"/>
              <w:rPr>
                <w:rFonts w:cs="Arial"/>
                <w:szCs w:val="18"/>
                <w:lang w:val="en-GB"/>
              </w:rPr>
            </w:pPr>
          </w:p>
        </w:tc>
      </w:tr>
      <w:tr w:rsidR="00106842" w:rsidRPr="00B57B36" w14:paraId="0264EB2E" w14:textId="77777777" w:rsidTr="003A2BA8">
        <w:tc>
          <w:tcPr>
            <w:tcW w:w="851" w:type="dxa"/>
            <w:shd w:val="clear" w:color="auto" w:fill="FFFFFF"/>
          </w:tcPr>
          <w:p w14:paraId="72877C0F" w14:textId="1C526B1C" w:rsidR="00106842" w:rsidRPr="00B57B36" w:rsidRDefault="00106842" w:rsidP="00F86A4D">
            <w:pPr>
              <w:pStyle w:val="CETBodytext"/>
              <w:rPr>
                <w:lang w:val="en-GB"/>
              </w:rPr>
            </w:pPr>
            <w:r w:rsidRPr="00106842">
              <w:rPr>
                <w:lang w:val="en-GB"/>
              </w:rPr>
              <w:t>C00</w:t>
            </w:r>
          </w:p>
        </w:tc>
        <w:tc>
          <w:tcPr>
            <w:tcW w:w="1843" w:type="dxa"/>
            <w:shd w:val="clear" w:color="auto" w:fill="FFFFFF"/>
          </w:tcPr>
          <w:p w14:paraId="52AF4415" w14:textId="6D4060CF" w:rsidR="00106842" w:rsidRPr="00B57B36" w:rsidRDefault="00106842" w:rsidP="00F86A4D">
            <w:pPr>
              <w:pStyle w:val="CETBodytext"/>
              <w:rPr>
                <w:lang w:val="en-GB"/>
              </w:rPr>
            </w:pPr>
            <w:r w:rsidRPr="00106842">
              <w:rPr>
                <w:lang w:val="en-GB"/>
              </w:rPr>
              <w:t>Bitter</w:t>
            </w:r>
            <w:r w:rsidR="00542623">
              <w:rPr>
                <w:lang w:val="en-GB"/>
              </w:rPr>
              <w:t>ness</w:t>
            </w:r>
          </w:p>
        </w:tc>
        <w:tc>
          <w:tcPr>
            <w:tcW w:w="2812" w:type="dxa"/>
            <w:shd w:val="clear" w:color="auto" w:fill="FFFFFF"/>
          </w:tcPr>
          <w:p w14:paraId="28D3C48E" w14:textId="4768A494" w:rsidR="00106842" w:rsidRPr="00B57B36" w:rsidRDefault="00106842">
            <w:pPr>
              <w:pStyle w:val="CETBodytext"/>
              <w:rPr>
                <w:lang w:val="en-GB"/>
              </w:rPr>
            </w:pPr>
            <w:r w:rsidRPr="00106842">
              <w:rPr>
                <w:lang w:val="en-GB"/>
              </w:rPr>
              <w:t>Aftertaste</w:t>
            </w:r>
            <w:r w:rsidR="00711DAE">
              <w:rPr>
                <w:lang w:val="en-GB"/>
              </w:rPr>
              <w:t xml:space="preserve"> </w:t>
            </w:r>
            <w:r w:rsidR="00542623">
              <w:rPr>
                <w:lang w:val="en-GB"/>
              </w:rPr>
              <w:t>B</w:t>
            </w:r>
            <w:r w:rsidRPr="00106842">
              <w:rPr>
                <w:lang w:val="en-GB"/>
              </w:rPr>
              <w:t>itter</w:t>
            </w:r>
            <w:r w:rsidR="00542623">
              <w:rPr>
                <w:lang w:val="en-GB"/>
              </w:rPr>
              <w:t>ness</w:t>
            </w:r>
          </w:p>
        </w:tc>
        <w:tc>
          <w:tcPr>
            <w:tcW w:w="23" w:type="dxa"/>
            <w:shd w:val="clear" w:color="auto" w:fill="FFFFFF"/>
          </w:tcPr>
          <w:p w14:paraId="5F2836C7" w14:textId="77777777" w:rsidR="00106842" w:rsidRPr="00B57B36" w:rsidRDefault="00106842" w:rsidP="00F86A4D">
            <w:pPr>
              <w:pStyle w:val="CETBodytext"/>
              <w:ind w:right="-1"/>
              <w:rPr>
                <w:rFonts w:cs="Arial"/>
                <w:szCs w:val="18"/>
                <w:lang w:val="en-GB"/>
              </w:rPr>
            </w:pPr>
          </w:p>
        </w:tc>
        <w:tc>
          <w:tcPr>
            <w:tcW w:w="20" w:type="dxa"/>
            <w:shd w:val="clear" w:color="auto" w:fill="FFFFFF"/>
          </w:tcPr>
          <w:p w14:paraId="24CA5D2A" w14:textId="77777777" w:rsidR="00106842" w:rsidRPr="00B57B36" w:rsidRDefault="00106842" w:rsidP="00F86A4D">
            <w:pPr>
              <w:pStyle w:val="CETBodytext"/>
              <w:ind w:right="-1"/>
              <w:rPr>
                <w:rFonts w:cs="Arial"/>
                <w:szCs w:val="18"/>
                <w:lang w:val="en-GB"/>
              </w:rPr>
            </w:pPr>
          </w:p>
        </w:tc>
      </w:tr>
      <w:tr w:rsidR="00106842" w:rsidRPr="00B57B36" w14:paraId="03B59F43" w14:textId="77777777" w:rsidTr="003A2BA8">
        <w:tc>
          <w:tcPr>
            <w:tcW w:w="851" w:type="dxa"/>
            <w:shd w:val="clear" w:color="auto" w:fill="FFFFFF"/>
          </w:tcPr>
          <w:p w14:paraId="49CDCE90" w14:textId="0A26FF1E" w:rsidR="00106842" w:rsidRPr="00B57B36" w:rsidRDefault="00711DAE" w:rsidP="00F86A4D">
            <w:pPr>
              <w:pStyle w:val="CETBodytext"/>
              <w:rPr>
                <w:lang w:val="en-GB"/>
              </w:rPr>
            </w:pPr>
            <w:r>
              <w:rPr>
                <w:lang w:val="en-GB"/>
              </w:rPr>
              <w:t>AE1</w:t>
            </w:r>
          </w:p>
        </w:tc>
        <w:tc>
          <w:tcPr>
            <w:tcW w:w="1843" w:type="dxa"/>
            <w:shd w:val="clear" w:color="auto" w:fill="FFFFFF"/>
          </w:tcPr>
          <w:p w14:paraId="777A3B62" w14:textId="77D8B839" w:rsidR="00106842" w:rsidRPr="00B57B36" w:rsidRDefault="00106842" w:rsidP="00F86A4D">
            <w:pPr>
              <w:pStyle w:val="CETBodytext"/>
              <w:rPr>
                <w:lang w:val="en-GB"/>
              </w:rPr>
            </w:pPr>
            <w:r w:rsidRPr="00106842">
              <w:rPr>
                <w:lang w:val="en-GB"/>
              </w:rPr>
              <w:t>Astringency</w:t>
            </w:r>
          </w:p>
        </w:tc>
        <w:tc>
          <w:tcPr>
            <w:tcW w:w="2812" w:type="dxa"/>
            <w:shd w:val="clear" w:color="auto" w:fill="FFFFFF"/>
          </w:tcPr>
          <w:p w14:paraId="27450CF9" w14:textId="1AE21F1A" w:rsidR="00106842" w:rsidRPr="00B57B36" w:rsidRDefault="00106842">
            <w:pPr>
              <w:pStyle w:val="CETBodytext"/>
              <w:rPr>
                <w:lang w:val="en-GB"/>
              </w:rPr>
            </w:pPr>
            <w:r w:rsidRPr="00106842">
              <w:rPr>
                <w:lang w:val="en-GB"/>
              </w:rPr>
              <w:t>Aftertaste</w:t>
            </w:r>
            <w:r w:rsidR="00711DAE">
              <w:rPr>
                <w:lang w:val="en-GB"/>
              </w:rPr>
              <w:t xml:space="preserve"> </w:t>
            </w:r>
            <w:r w:rsidR="00542623">
              <w:rPr>
                <w:lang w:val="en-GB"/>
              </w:rPr>
              <w:t>A</w:t>
            </w:r>
            <w:r w:rsidRPr="00106842">
              <w:rPr>
                <w:lang w:val="en-GB"/>
              </w:rPr>
              <w:t>stringency</w:t>
            </w:r>
          </w:p>
        </w:tc>
        <w:tc>
          <w:tcPr>
            <w:tcW w:w="23" w:type="dxa"/>
            <w:shd w:val="clear" w:color="auto" w:fill="FFFFFF"/>
          </w:tcPr>
          <w:p w14:paraId="1F0F755D" w14:textId="77777777" w:rsidR="00106842" w:rsidRPr="00B57B36" w:rsidRDefault="00106842" w:rsidP="00F86A4D">
            <w:pPr>
              <w:pStyle w:val="CETBodytext"/>
              <w:ind w:right="-1"/>
              <w:rPr>
                <w:rFonts w:cs="Arial"/>
                <w:szCs w:val="18"/>
                <w:lang w:val="en-GB"/>
              </w:rPr>
            </w:pPr>
          </w:p>
        </w:tc>
        <w:tc>
          <w:tcPr>
            <w:tcW w:w="20" w:type="dxa"/>
            <w:shd w:val="clear" w:color="auto" w:fill="FFFFFF"/>
          </w:tcPr>
          <w:p w14:paraId="2F164083" w14:textId="77777777" w:rsidR="00106842" w:rsidRPr="00B57B36" w:rsidRDefault="00106842" w:rsidP="00F86A4D">
            <w:pPr>
              <w:pStyle w:val="CETBodytext"/>
              <w:ind w:right="-1"/>
              <w:rPr>
                <w:rFonts w:cs="Arial"/>
                <w:szCs w:val="18"/>
                <w:lang w:val="en-GB"/>
              </w:rPr>
            </w:pPr>
          </w:p>
        </w:tc>
      </w:tr>
      <w:tr w:rsidR="00106842" w:rsidRPr="00B57B36" w14:paraId="3F300661" w14:textId="77777777" w:rsidTr="003A2BA8">
        <w:tc>
          <w:tcPr>
            <w:tcW w:w="851" w:type="dxa"/>
            <w:shd w:val="clear" w:color="auto" w:fill="FFFFFF"/>
          </w:tcPr>
          <w:p w14:paraId="410F2ED7" w14:textId="77777777" w:rsidR="00106842" w:rsidRPr="00B57B36" w:rsidRDefault="00106842" w:rsidP="00F86A4D">
            <w:pPr>
              <w:pStyle w:val="CETBodytext"/>
              <w:rPr>
                <w:lang w:val="en-GB"/>
              </w:rPr>
            </w:pPr>
          </w:p>
        </w:tc>
        <w:tc>
          <w:tcPr>
            <w:tcW w:w="1843" w:type="dxa"/>
            <w:shd w:val="clear" w:color="auto" w:fill="FFFFFF"/>
          </w:tcPr>
          <w:p w14:paraId="7E84D01C" w14:textId="77777777" w:rsidR="00106842" w:rsidRPr="00B57B36" w:rsidRDefault="00106842" w:rsidP="00F86A4D">
            <w:pPr>
              <w:pStyle w:val="CETBodytext"/>
              <w:rPr>
                <w:lang w:val="en-GB"/>
              </w:rPr>
            </w:pPr>
          </w:p>
        </w:tc>
        <w:tc>
          <w:tcPr>
            <w:tcW w:w="2812" w:type="dxa"/>
            <w:shd w:val="clear" w:color="auto" w:fill="FFFFFF"/>
          </w:tcPr>
          <w:p w14:paraId="4830B27D" w14:textId="77777777" w:rsidR="00106842" w:rsidRPr="00B57B36" w:rsidRDefault="00106842" w:rsidP="00F86A4D">
            <w:pPr>
              <w:pStyle w:val="CETBodytext"/>
              <w:rPr>
                <w:lang w:val="en-GB"/>
              </w:rPr>
            </w:pPr>
          </w:p>
        </w:tc>
        <w:tc>
          <w:tcPr>
            <w:tcW w:w="23" w:type="dxa"/>
            <w:shd w:val="clear" w:color="auto" w:fill="FFFFFF"/>
          </w:tcPr>
          <w:p w14:paraId="0F3C4A0B" w14:textId="77777777" w:rsidR="00106842" w:rsidRPr="00B57B36" w:rsidRDefault="00106842" w:rsidP="00F86A4D">
            <w:pPr>
              <w:pStyle w:val="CETBodytext"/>
              <w:ind w:right="-1"/>
              <w:rPr>
                <w:rFonts w:cs="Arial"/>
                <w:szCs w:val="18"/>
                <w:lang w:val="en-GB"/>
              </w:rPr>
            </w:pPr>
          </w:p>
        </w:tc>
        <w:tc>
          <w:tcPr>
            <w:tcW w:w="20" w:type="dxa"/>
            <w:shd w:val="clear" w:color="auto" w:fill="FFFFFF"/>
          </w:tcPr>
          <w:p w14:paraId="16F1394D" w14:textId="77777777" w:rsidR="00106842" w:rsidRPr="00B57B36" w:rsidRDefault="00106842" w:rsidP="00F86A4D">
            <w:pPr>
              <w:pStyle w:val="CETBodytext"/>
              <w:ind w:right="-1"/>
              <w:rPr>
                <w:rFonts w:cs="Arial"/>
                <w:szCs w:val="18"/>
                <w:lang w:val="en-GB"/>
              </w:rPr>
            </w:pPr>
          </w:p>
        </w:tc>
      </w:tr>
    </w:tbl>
    <w:p w14:paraId="47121B5F" w14:textId="76CA85CB" w:rsidR="00E31E0E" w:rsidRDefault="00C047A8" w:rsidP="00E31E0E">
      <w:pPr>
        <w:pStyle w:val="CETHeading1"/>
      </w:pPr>
      <w:r>
        <w:t xml:space="preserve">Results and discussion </w:t>
      </w:r>
    </w:p>
    <w:p w14:paraId="0E77E01C" w14:textId="3A528FD5" w:rsidR="00921143" w:rsidRDefault="00E31E0E" w:rsidP="003A2BA8">
      <w:pPr>
        <w:pStyle w:val="CETHeading1"/>
        <w:numPr>
          <w:ilvl w:val="0"/>
          <w:numId w:val="0"/>
        </w:numPr>
        <w:jc w:val="both"/>
        <w:rPr>
          <w:b w:val="0"/>
          <w:bCs/>
          <w:sz w:val="18"/>
          <w:szCs w:val="18"/>
          <w:lang w:val="en-GB"/>
        </w:rPr>
      </w:pPr>
      <w:r w:rsidRPr="005679CE">
        <w:rPr>
          <w:b w:val="0"/>
          <w:bCs/>
          <w:sz w:val="18"/>
          <w:szCs w:val="18"/>
          <w:lang w:val="en-GB"/>
        </w:rPr>
        <w:t>The composition of yam flour</w:t>
      </w:r>
      <w:r w:rsidR="005679CE" w:rsidRPr="005679CE">
        <w:rPr>
          <w:sz w:val="18"/>
          <w:szCs w:val="18"/>
          <w:lang w:val="en-GB"/>
        </w:rPr>
        <w:t xml:space="preserve"> </w:t>
      </w:r>
      <w:r w:rsidR="003A2BA8">
        <w:rPr>
          <w:b w:val="0"/>
          <w:bCs/>
          <w:sz w:val="18"/>
          <w:szCs w:val="18"/>
          <w:lang w:val="en-GB"/>
        </w:rPr>
        <w:t>was</w:t>
      </w:r>
      <w:r w:rsidR="00921143" w:rsidRPr="005679CE">
        <w:rPr>
          <w:b w:val="0"/>
          <w:bCs/>
          <w:sz w:val="18"/>
          <w:szCs w:val="18"/>
          <w:lang w:val="en-GB"/>
        </w:rPr>
        <w:t xml:space="preserve"> </w:t>
      </w:r>
      <w:r w:rsidR="005679CE" w:rsidRPr="005679CE">
        <w:rPr>
          <w:b w:val="0"/>
          <w:bCs/>
          <w:sz w:val="18"/>
          <w:szCs w:val="18"/>
          <w:lang w:val="en-GB"/>
        </w:rPr>
        <w:t xml:space="preserve">moisture </w:t>
      </w:r>
      <w:r w:rsidR="005679CE" w:rsidRPr="005679CE">
        <w:rPr>
          <w:b w:val="0"/>
          <w:bCs/>
          <w:sz w:val="18"/>
          <w:szCs w:val="18"/>
        </w:rPr>
        <w:t xml:space="preserve">12.9 g/100g, total solids </w:t>
      </w:r>
      <w:r w:rsidR="005679CE" w:rsidRPr="005679CE">
        <w:rPr>
          <w:b w:val="0"/>
          <w:bCs/>
          <w:sz w:val="18"/>
          <w:szCs w:val="18"/>
          <w:lang w:val="en-GB"/>
        </w:rPr>
        <w:t>87.1 g/100g, total carbohydrates 81.8 g/100 g, total protein</w:t>
      </w:r>
      <w:r w:rsidR="00921143">
        <w:rPr>
          <w:b w:val="0"/>
          <w:bCs/>
          <w:sz w:val="18"/>
          <w:szCs w:val="18"/>
          <w:lang w:val="en-GB"/>
        </w:rPr>
        <w:t>s</w:t>
      </w:r>
      <w:r w:rsidR="005679CE" w:rsidRPr="005679CE">
        <w:rPr>
          <w:b w:val="0"/>
          <w:bCs/>
          <w:sz w:val="18"/>
          <w:szCs w:val="18"/>
          <w:lang w:val="en-GB"/>
        </w:rPr>
        <w:t xml:space="preserve"> 3.3 g/100 g</w:t>
      </w:r>
      <w:r w:rsidR="00921143">
        <w:rPr>
          <w:b w:val="0"/>
          <w:bCs/>
          <w:sz w:val="18"/>
          <w:szCs w:val="18"/>
          <w:lang w:val="en-GB"/>
        </w:rPr>
        <w:t>.</w:t>
      </w:r>
      <w:r w:rsidR="005679CE" w:rsidRPr="005679CE">
        <w:rPr>
          <w:sz w:val="18"/>
          <w:szCs w:val="18"/>
          <w:lang w:val="en-GB"/>
        </w:rPr>
        <w:t xml:space="preserve"> </w:t>
      </w:r>
      <w:r w:rsidR="00921143">
        <w:rPr>
          <w:b w:val="0"/>
          <w:bCs/>
          <w:sz w:val="18"/>
          <w:szCs w:val="18"/>
          <w:lang w:val="en-GB"/>
        </w:rPr>
        <w:t>T</w:t>
      </w:r>
      <w:r w:rsidRPr="005679CE">
        <w:rPr>
          <w:b w:val="0"/>
          <w:bCs/>
          <w:sz w:val="18"/>
          <w:szCs w:val="18"/>
          <w:lang w:val="en-GB"/>
        </w:rPr>
        <w:t xml:space="preserve">he low protein content makes supplementation with nitrogen sources necessary to meet the yeast's needs for the alcoholic fermentation. </w:t>
      </w:r>
    </w:p>
    <w:p w14:paraId="3CF5C831" w14:textId="766A9D38" w:rsidR="002E23F3" w:rsidRPr="002E23F3" w:rsidRDefault="00A209E8" w:rsidP="003A2BA8">
      <w:pPr>
        <w:pStyle w:val="CETHeading1"/>
        <w:numPr>
          <w:ilvl w:val="0"/>
          <w:numId w:val="0"/>
        </w:numPr>
        <w:jc w:val="both"/>
        <w:rPr>
          <w:b w:val="0"/>
          <w:bCs/>
          <w:sz w:val="18"/>
          <w:szCs w:val="18"/>
        </w:rPr>
      </w:pPr>
      <w:r w:rsidRPr="005679CE">
        <w:rPr>
          <w:b w:val="0"/>
          <w:bCs/>
          <w:sz w:val="18"/>
          <w:szCs w:val="18"/>
        </w:rPr>
        <w:t>Figure 1</w:t>
      </w:r>
      <w:r w:rsidR="00CD7097" w:rsidRPr="005679CE">
        <w:rPr>
          <w:sz w:val="18"/>
          <w:szCs w:val="18"/>
        </w:rPr>
        <w:t xml:space="preserve"> </w:t>
      </w:r>
      <w:r w:rsidRPr="005679CE">
        <w:rPr>
          <w:b w:val="0"/>
          <w:bCs/>
          <w:sz w:val="18"/>
          <w:szCs w:val="18"/>
        </w:rPr>
        <w:t xml:space="preserve">shows the results related to the determination of Brix degrees over time </w:t>
      </w:r>
      <w:r w:rsidR="00921143">
        <w:rPr>
          <w:b w:val="0"/>
          <w:bCs/>
          <w:sz w:val="18"/>
          <w:szCs w:val="18"/>
        </w:rPr>
        <w:t xml:space="preserve">during the </w:t>
      </w:r>
      <w:r w:rsidRPr="005679CE">
        <w:rPr>
          <w:b w:val="0"/>
          <w:bCs/>
          <w:sz w:val="18"/>
          <w:szCs w:val="18"/>
        </w:rPr>
        <w:t xml:space="preserve">saccharification process with the addition of α-amylase </w:t>
      </w:r>
      <w:r w:rsidR="003A2BA8">
        <w:rPr>
          <w:b w:val="0"/>
          <w:bCs/>
          <w:sz w:val="18"/>
          <w:szCs w:val="18"/>
        </w:rPr>
        <w:t xml:space="preserve">for 1 hour at 95°C </w:t>
      </w:r>
      <w:r w:rsidRPr="005679CE">
        <w:rPr>
          <w:b w:val="0"/>
          <w:bCs/>
          <w:sz w:val="18"/>
          <w:szCs w:val="18"/>
        </w:rPr>
        <w:t>and glucoamylase</w:t>
      </w:r>
      <w:r w:rsidR="003A2BA8">
        <w:rPr>
          <w:b w:val="0"/>
          <w:bCs/>
          <w:sz w:val="18"/>
          <w:szCs w:val="18"/>
        </w:rPr>
        <w:t xml:space="preserve"> for 1 hour at 60°C</w:t>
      </w:r>
      <w:r w:rsidRPr="005679CE">
        <w:rPr>
          <w:b w:val="0"/>
          <w:bCs/>
          <w:sz w:val="18"/>
          <w:szCs w:val="18"/>
        </w:rPr>
        <w:t xml:space="preserve">. An increase in soluble solids can be observed due to the action of the enzymes; these values start </w:t>
      </w:r>
      <w:r w:rsidR="00921143">
        <w:rPr>
          <w:b w:val="0"/>
          <w:bCs/>
          <w:sz w:val="18"/>
          <w:szCs w:val="18"/>
        </w:rPr>
        <w:t>form</w:t>
      </w:r>
      <w:r w:rsidR="00921143" w:rsidRPr="005679CE">
        <w:rPr>
          <w:b w:val="0"/>
          <w:bCs/>
          <w:sz w:val="18"/>
          <w:szCs w:val="18"/>
        </w:rPr>
        <w:t xml:space="preserve"> </w:t>
      </w:r>
      <w:r w:rsidR="000675F8">
        <w:rPr>
          <w:b w:val="0"/>
          <w:bCs/>
          <w:sz w:val="18"/>
          <w:szCs w:val="18"/>
        </w:rPr>
        <w:t>2.5</w:t>
      </w:r>
      <w:r w:rsidRPr="005679CE">
        <w:rPr>
          <w:b w:val="0"/>
          <w:bCs/>
          <w:sz w:val="18"/>
          <w:szCs w:val="18"/>
        </w:rPr>
        <w:t xml:space="preserve"> °Brix and after 1</w:t>
      </w:r>
      <w:r w:rsidR="002E23F3">
        <w:rPr>
          <w:b w:val="0"/>
          <w:bCs/>
          <w:sz w:val="18"/>
          <w:szCs w:val="18"/>
        </w:rPr>
        <w:t xml:space="preserve"> </w:t>
      </w:r>
      <w:r w:rsidR="002E23F3" w:rsidRPr="002E23F3">
        <w:rPr>
          <w:b w:val="0"/>
          <w:bCs/>
          <w:sz w:val="18"/>
          <w:szCs w:val="18"/>
        </w:rPr>
        <w:t>hou</w:t>
      </w:r>
      <w:r w:rsidR="00921143">
        <w:rPr>
          <w:b w:val="0"/>
          <w:bCs/>
          <w:sz w:val="18"/>
          <w:szCs w:val="18"/>
        </w:rPr>
        <w:t xml:space="preserve">r </w:t>
      </w:r>
      <w:r w:rsidR="002E23F3" w:rsidRPr="002E23F3">
        <w:rPr>
          <w:b w:val="0"/>
          <w:bCs/>
          <w:sz w:val="18"/>
          <w:szCs w:val="18"/>
        </w:rPr>
        <w:t xml:space="preserve">increase to </w:t>
      </w:r>
      <w:r w:rsidR="003D494D">
        <w:rPr>
          <w:b w:val="0"/>
          <w:bCs/>
          <w:sz w:val="18"/>
          <w:szCs w:val="18"/>
        </w:rPr>
        <w:t>22.07</w:t>
      </w:r>
      <w:r w:rsidR="002E23F3" w:rsidRPr="002E23F3">
        <w:rPr>
          <w:b w:val="0"/>
          <w:bCs/>
          <w:sz w:val="18"/>
          <w:szCs w:val="18"/>
        </w:rPr>
        <w:t xml:space="preserve"> °Brix. Subsequently, the temperature is reduced to 60°C, and glucoamylase is added, reaching </w:t>
      </w:r>
      <w:r w:rsidR="0028710A">
        <w:rPr>
          <w:b w:val="0"/>
          <w:bCs/>
          <w:sz w:val="18"/>
          <w:szCs w:val="18"/>
        </w:rPr>
        <w:t>23.27</w:t>
      </w:r>
      <w:r w:rsidR="002E23F3" w:rsidRPr="002E23F3">
        <w:rPr>
          <w:b w:val="0"/>
          <w:bCs/>
          <w:sz w:val="18"/>
          <w:szCs w:val="18"/>
        </w:rPr>
        <w:t xml:space="preserve"> °Brix.</w:t>
      </w:r>
    </w:p>
    <w:p w14:paraId="4E87D003" w14:textId="251F74B0" w:rsidR="002E23F3" w:rsidRDefault="00EC68FA" w:rsidP="002E23F3">
      <w:pPr>
        <w:pStyle w:val="CETBodytext"/>
        <w:jc w:val="center"/>
        <w:rPr>
          <w:bCs/>
          <w:i/>
          <w:iCs/>
          <w:szCs w:val="18"/>
        </w:rPr>
      </w:pPr>
      <w:r w:rsidRPr="00EC68FA">
        <w:rPr>
          <w:bCs/>
          <w:i/>
          <w:iCs/>
          <w:szCs w:val="18"/>
        </w:rPr>
        <w:drawing>
          <wp:inline distT="0" distB="0" distL="0" distR="0" wp14:anchorId="42CC3A8F" wp14:editId="39357F07">
            <wp:extent cx="3063833" cy="1754547"/>
            <wp:effectExtent l="0" t="0" r="3810" b="0"/>
            <wp:docPr id="1607690453" name="Immagine 1" descr="Immagine che contiene testo, Diagramma, diagramma, line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90453" name="Immagine 1" descr="Immagine che contiene testo, Diagramma, diagramma, linea&#10;&#10;Il contenuto generato dall'IA potrebbe non essere corretto."/>
                    <pic:cNvPicPr/>
                  </pic:nvPicPr>
                  <pic:blipFill>
                    <a:blip r:embed="rId10"/>
                    <a:stretch>
                      <a:fillRect/>
                    </a:stretch>
                  </pic:blipFill>
                  <pic:spPr>
                    <a:xfrm>
                      <a:off x="0" y="0"/>
                      <a:ext cx="3081618" cy="1764732"/>
                    </a:xfrm>
                    <a:prstGeom prst="rect">
                      <a:avLst/>
                    </a:prstGeom>
                  </pic:spPr>
                </pic:pic>
              </a:graphicData>
            </a:graphic>
          </wp:inline>
        </w:drawing>
      </w:r>
    </w:p>
    <w:p w14:paraId="4C3BC581" w14:textId="58AEF9EF" w:rsidR="003A2BA8" w:rsidRDefault="002E23F3" w:rsidP="003A2BA8">
      <w:pPr>
        <w:pStyle w:val="CETCaption"/>
        <w:rPr>
          <w:rStyle w:val="CETCaptionCarattere"/>
          <w:i/>
        </w:rPr>
      </w:pPr>
      <w:r w:rsidRPr="002E23F3">
        <w:rPr>
          <w:bCs/>
          <w:iCs/>
          <w:szCs w:val="18"/>
        </w:rPr>
        <w:t>Figure 1: Brix degrees during the liquefaction and saccharification process with the addition of α-amylase and glucoamylase</w:t>
      </w:r>
      <w:r w:rsidR="008E5604">
        <w:rPr>
          <w:bCs/>
          <w:i w:val="0"/>
          <w:iCs/>
          <w:szCs w:val="18"/>
        </w:rPr>
        <w:t>.</w:t>
      </w:r>
    </w:p>
    <w:p w14:paraId="6D7E11B8" w14:textId="2C14B969" w:rsidR="00921143" w:rsidRPr="003A2BA8" w:rsidRDefault="00921143" w:rsidP="002E23F3">
      <w:pPr>
        <w:pStyle w:val="CETBodytext"/>
        <w:rPr>
          <w:bCs/>
          <w:i/>
          <w:iCs/>
          <w:szCs w:val="18"/>
          <w:lang w:val="en-GB"/>
        </w:rPr>
      </w:pPr>
    </w:p>
    <w:p w14:paraId="1ADB06D2" w14:textId="5B425A13" w:rsidR="00CD7097" w:rsidRPr="002E23F3" w:rsidRDefault="00CD7097" w:rsidP="002E23F3">
      <w:pPr>
        <w:pStyle w:val="CETBodytext"/>
      </w:pPr>
      <w:r w:rsidRPr="00CD7097">
        <w:rPr>
          <w:iCs/>
        </w:rPr>
        <w:t xml:space="preserve">In Figure 2, the </w:t>
      </w:r>
      <w:r w:rsidR="006B63A4">
        <w:rPr>
          <w:iCs/>
        </w:rPr>
        <w:t>evolution</w:t>
      </w:r>
      <w:r w:rsidR="006B63A4" w:rsidRPr="00CD7097">
        <w:rPr>
          <w:iCs/>
        </w:rPr>
        <w:t xml:space="preserve"> </w:t>
      </w:r>
      <w:r w:rsidRPr="00CD7097">
        <w:rPr>
          <w:iCs/>
        </w:rPr>
        <w:t xml:space="preserve">of the Brix degrees during fermentation using two commercial yeasts, Premier Classique (PC) and </w:t>
      </w:r>
      <w:proofErr w:type="spellStart"/>
      <w:r w:rsidRPr="00CD7097">
        <w:rPr>
          <w:iCs/>
        </w:rPr>
        <w:t>SafBrew</w:t>
      </w:r>
      <w:proofErr w:type="spellEnd"/>
      <w:r w:rsidRPr="00CD7097">
        <w:rPr>
          <w:iCs/>
        </w:rPr>
        <w:t xml:space="preserve"> HA-18 (HA-18), is presented. In the case of the PC yeast, a continuous decrease is </w:t>
      </w:r>
      <w:r w:rsidR="006B63A4">
        <w:rPr>
          <w:iCs/>
        </w:rPr>
        <w:t>observed</w:t>
      </w:r>
      <w:r w:rsidR="006B63A4" w:rsidRPr="00CD7097">
        <w:rPr>
          <w:iCs/>
        </w:rPr>
        <w:t xml:space="preserve"> </w:t>
      </w:r>
      <w:r w:rsidR="006B63A4">
        <w:rPr>
          <w:iCs/>
        </w:rPr>
        <w:t>up to</w:t>
      </w:r>
      <w:r w:rsidRPr="00CD7097">
        <w:rPr>
          <w:iCs/>
        </w:rPr>
        <w:t xml:space="preserve"> a </w:t>
      </w:r>
      <w:proofErr w:type="gramStart"/>
      <w:r w:rsidRPr="00CD7097">
        <w:rPr>
          <w:iCs/>
        </w:rPr>
        <w:t>value</w:t>
      </w:r>
      <w:proofErr w:type="gramEnd"/>
      <w:r w:rsidRPr="00CD7097">
        <w:rPr>
          <w:iCs/>
        </w:rPr>
        <w:t xml:space="preserve"> of </w:t>
      </w:r>
      <w:r w:rsidR="00C1565F">
        <w:rPr>
          <w:iCs/>
        </w:rPr>
        <w:t>5.7</w:t>
      </w:r>
      <w:r w:rsidRPr="00CD7097">
        <w:rPr>
          <w:iCs/>
        </w:rPr>
        <w:t>°Brix at 1</w:t>
      </w:r>
      <w:r w:rsidR="00C1565F">
        <w:rPr>
          <w:iCs/>
        </w:rPr>
        <w:t>92</w:t>
      </w:r>
      <w:r w:rsidRPr="00CD7097">
        <w:rPr>
          <w:iCs/>
        </w:rPr>
        <w:t xml:space="preserve"> hours. For the</w:t>
      </w:r>
      <w:r w:rsidR="006B63A4">
        <w:rPr>
          <w:iCs/>
        </w:rPr>
        <w:t xml:space="preserve"> evolution</w:t>
      </w:r>
      <w:r w:rsidRPr="00CD7097">
        <w:rPr>
          <w:iCs/>
        </w:rPr>
        <w:t xml:space="preserve"> observed with the HA-18 yeast, which also contains glucoamylase, there is a decrease in the Brix degrees until the third day</w:t>
      </w:r>
      <w:r w:rsidR="006B63A4">
        <w:rPr>
          <w:iCs/>
        </w:rPr>
        <w:t xml:space="preserve"> and then an</w:t>
      </w:r>
      <w:r w:rsidRPr="00CD7097">
        <w:rPr>
          <w:iCs/>
        </w:rPr>
        <w:t xml:space="preserve"> increase, probably due to the glucoamylase content; finally, it continues to decrease to reach a final value of 5.8°Brix.</w:t>
      </w:r>
    </w:p>
    <w:p w14:paraId="518D23CE" w14:textId="7B895228" w:rsidR="00CD7097" w:rsidRDefault="008A470A" w:rsidP="00CD7097">
      <w:pPr>
        <w:pStyle w:val="CETCaption"/>
        <w:jc w:val="center"/>
        <w:rPr>
          <w:i w:val="0"/>
          <w:iCs/>
        </w:rPr>
      </w:pPr>
      <w:r w:rsidRPr="008A470A">
        <w:rPr>
          <w:i w:val="0"/>
          <w:iCs/>
        </w:rPr>
        <w:lastRenderedPageBreak/>
        <w:drawing>
          <wp:inline distT="0" distB="0" distL="0" distR="0" wp14:anchorId="5E21C9B5" wp14:editId="1C57ACF2">
            <wp:extent cx="3041156" cy="1864426"/>
            <wp:effectExtent l="0" t="0" r="6985" b="2540"/>
            <wp:docPr id="1474081284" name="Immagine 1" descr="Immagine che contiene testo, Diagramma, linea,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081284" name="Immagine 1" descr="Immagine che contiene testo, Diagramma, linea, diagramma&#10;&#10;Il contenuto generato dall'IA potrebbe non essere corretto."/>
                    <pic:cNvPicPr/>
                  </pic:nvPicPr>
                  <pic:blipFill>
                    <a:blip r:embed="rId11"/>
                    <a:stretch>
                      <a:fillRect/>
                    </a:stretch>
                  </pic:blipFill>
                  <pic:spPr>
                    <a:xfrm>
                      <a:off x="0" y="0"/>
                      <a:ext cx="3071001" cy="1882723"/>
                    </a:xfrm>
                    <a:prstGeom prst="rect">
                      <a:avLst/>
                    </a:prstGeom>
                  </pic:spPr>
                </pic:pic>
              </a:graphicData>
            </a:graphic>
          </wp:inline>
        </w:drawing>
      </w:r>
    </w:p>
    <w:p w14:paraId="4F291E72" w14:textId="37032A2D" w:rsidR="00CD7097" w:rsidRDefault="00CD7097" w:rsidP="00CD7097">
      <w:pPr>
        <w:pStyle w:val="CETCaption"/>
        <w:rPr>
          <w:rStyle w:val="CETCaptionCarattere"/>
          <w:i/>
        </w:rPr>
      </w:pPr>
      <w:r w:rsidRPr="00BD077D">
        <w:rPr>
          <w:rStyle w:val="CETCaptionCarattere"/>
          <w:i/>
        </w:rPr>
        <w:t xml:space="preserve">Figure </w:t>
      </w:r>
      <w:r>
        <w:rPr>
          <w:rStyle w:val="CETCaptionCarattere"/>
          <w:i/>
        </w:rPr>
        <w:t>2</w:t>
      </w:r>
      <w:r w:rsidRPr="00BD077D">
        <w:rPr>
          <w:rStyle w:val="CETCaptionCarattere"/>
          <w:i/>
        </w:rPr>
        <w:t>:</w:t>
      </w:r>
      <w:r w:rsidRPr="00CD7097">
        <w:t xml:space="preserve"> </w:t>
      </w:r>
      <w:r w:rsidRPr="00CD7097">
        <w:rPr>
          <w:rStyle w:val="CETCaptionCarattere"/>
          <w:i/>
        </w:rPr>
        <w:t>Brix degrees during the fermentation process using two commercial yeasts</w:t>
      </w:r>
      <w:r>
        <w:rPr>
          <w:rStyle w:val="CETCaptionCarattere"/>
          <w:i/>
        </w:rPr>
        <w:t>:</w:t>
      </w:r>
      <w:r w:rsidRPr="00CD7097">
        <w:t xml:space="preserve"> </w:t>
      </w:r>
      <w:r w:rsidRPr="00CD7097">
        <w:rPr>
          <w:rStyle w:val="CETCaptionCarattere"/>
          <w:i/>
        </w:rPr>
        <w:t>Premier Classique (</w:t>
      </w:r>
      <w:r w:rsidR="00CC4B5F">
        <w:rPr>
          <w:rStyle w:val="CETCaptionCarattere"/>
          <w:i/>
        </w:rPr>
        <w:t xml:space="preserve">Brix </w:t>
      </w:r>
      <w:r w:rsidRPr="00CD7097">
        <w:rPr>
          <w:rStyle w:val="CETCaptionCarattere"/>
          <w:i/>
        </w:rPr>
        <w:t>PC)</w:t>
      </w:r>
      <w:r w:rsidR="007C563C">
        <w:rPr>
          <w:rStyle w:val="CETCaptionCarattere"/>
          <w:i/>
        </w:rPr>
        <w:t xml:space="preserve"> in blue </w:t>
      </w:r>
      <w:r w:rsidRPr="00CD7097">
        <w:rPr>
          <w:rStyle w:val="CETCaptionCarattere"/>
          <w:i/>
        </w:rPr>
        <w:t xml:space="preserve">and </w:t>
      </w:r>
      <w:proofErr w:type="spellStart"/>
      <w:r w:rsidRPr="00CD7097">
        <w:rPr>
          <w:rStyle w:val="CETCaptionCarattere"/>
          <w:i/>
        </w:rPr>
        <w:t>SafBrew</w:t>
      </w:r>
      <w:proofErr w:type="spellEnd"/>
      <w:r w:rsidRPr="00CD7097">
        <w:rPr>
          <w:rStyle w:val="CETCaptionCarattere"/>
          <w:i/>
        </w:rPr>
        <w:t xml:space="preserve"> HA-18 (</w:t>
      </w:r>
      <w:r w:rsidR="00CC4B5F">
        <w:rPr>
          <w:rStyle w:val="CETCaptionCarattere"/>
          <w:i/>
        </w:rPr>
        <w:t xml:space="preserve">Brix </w:t>
      </w:r>
      <w:r w:rsidRPr="00CD7097">
        <w:rPr>
          <w:rStyle w:val="CETCaptionCarattere"/>
          <w:i/>
        </w:rPr>
        <w:t>HA-18)</w:t>
      </w:r>
      <w:r w:rsidR="007C563C">
        <w:rPr>
          <w:rStyle w:val="CETCaptionCarattere"/>
          <w:i/>
        </w:rPr>
        <w:t xml:space="preserve"> in </w:t>
      </w:r>
      <w:r w:rsidR="00CC4B5F">
        <w:rPr>
          <w:rStyle w:val="CETCaptionCarattere"/>
          <w:i/>
        </w:rPr>
        <w:t>gr</w:t>
      </w:r>
      <w:r w:rsidR="00EC68FA">
        <w:rPr>
          <w:rStyle w:val="CETCaptionCarattere"/>
          <w:i/>
        </w:rPr>
        <w:t>ey</w:t>
      </w:r>
      <w:r w:rsidR="00CC4B5F">
        <w:rPr>
          <w:rStyle w:val="CETCaptionCarattere"/>
          <w:i/>
        </w:rPr>
        <w:t xml:space="preserve"> line</w:t>
      </w:r>
      <w:r w:rsidRPr="00CD7097">
        <w:rPr>
          <w:rStyle w:val="CETCaptionCarattere"/>
          <w:i/>
        </w:rPr>
        <w:t>.</w:t>
      </w:r>
    </w:p>
    <w:p w14:paraId="1156EF5B" w14:textId="2A8A7939" w:rsidR="00CD7097" w:rsidRDefault="002F5F79" w:rsidP="002F5F79">
      <w:pPr>
        <w:pStyle w:val="CETCaption"/>
        <w:rPr>
          <w:i w:val="0"/>
          <w:iCs/>
        </w:rPr>
      </w:pPr>
      <w:r w:rsidRPr="002F5F79">
        <w:rPr>
          <w:i w:val="0"/>
          <w:iCs/>
        </w:rPr>
        <w:t>The monitoring of the Brix degrees during the hydrolysis and fermentation process is a simple method to track the fermentation process with different commercial yeas</w:t>
      </w:r>
      <w:r w:rsidR="00AD339C">
        <w:rPr>
          <w:i w:val="0"/>
          <w:iCs/>
        </w:rPr>
        <w:t>t</w:t>
      </w:r>
      <w:r w:rsidRPr="002F5F79">
        <w:rPr>
          <w:i w:val="0"/>
          <w:iCs/>
        </w:rPr>
        <w:t>.</w:t>
      </w:r>
      <w:r w:rsidR="002E23F3">
        <w:rPr>
          <w:i w:val="0"/>
          <w:iCs/>
        </w:rPr>
        <w:t xml:space="preserve"> </w:t>
      </w:r>
      <w:r w:rsidRPr="002F5F79">
        <w:rPr>
          <w:i w:val="0"/>
          <w:iCs/>
        </w:rPr>
        <w:t>The pH</w:t>
      </w:r>
      <w:r w:rsidR="006B63A4">
        <w:rPr>
          <w:i w:val="0"/>
          <w:iCs/>
        </w:rPr>
        <w:t xml:space="preserve"> </w:t>
      </w:r>
      <w:r w:rsidRPr="002F5F79">
        <w:rPr>
          <w:i w:val="0"/>
          <w:iCs/>
        </w:rPr>
        <w:t xml:space="preserve">was also monitored at all stages of the process, as shown in Figures 3 and 4. In Figure 3, it can be observed that the pH </w:t>
      </w:r>
      <w:r w:rsidR="00DE77FC">
        <w:rPr>
          <w:i w:val="0"/>
          <w:iCs/>
        </w:rPr>
        <w:t>was constant</w:t>
      </w:r>
      <w:r w:rsidRPr="002F5F79">
        <w:rPr>
          <w:i w:val="0"/>
          <w:iCs/>
        </w:rPr>
        <w:t xml:space="preserve"> </w:t>
      </w:r>
      <w:r w:rsidR="00DE77FC">
        <w:rPr>
          <w:i w:val="0"/>
          <w:iCs/>
        </w:rPr>
        <w:t xml:space="preserve">at </w:t>
      </w:r>
      <w:r w:rsidRPr="002F5F79">
        <w:rPr>
          <w:i w:val="0"/>
          <w:iCs/>
        </w:rPr>
        <w:t>6</w:t>
      </w:r>
      <w:r w:rsidR="00DE77FC">
        <w:rPr>
          <w:i w:val="0"/>
          <w:iCs/>
        </w:rPr>
        <w:t>.13</w:t>
      </w:r>
      <w:r w:rsidRPr="002F5F79">
        <w:rPr>
          <w:i w:val="0"/>
          <w:iCs/>
        </w:rPr>
        <w:t xml:space="preserve"> during the α-amylase action time. After that, it </w:t>
      </w:r>
      <w:r w:rsidR="00015161">
        <w:rPr>
          <w:i w:val="0"/>
          <w:iCs/>
        </w:rPr>
        <w:t>reduces</w:t>
      </w:r>
      <w:r w:rsidR="00FE2EE2">
        <w:rPr>
          <w:i w:val="0"/>
          <w:iCs/>
        </w:rPr>
        <w:t xml:space="preserve"> to 5.93 </w:t>
      </w:r>
      <w:r w:rsidRPr="002F5F79">
        <w:rPr>
          <w:i w:val="0"/>
          <w:iCs/>
        </w:rPr>
        <w:t>at this value until fermentation begins, but after 12 hours, the pH drops to 5.2 for the PC yeast, and to 5.1 for the HA-18 yeast. For the PC yeast, the pH remains relatively constant around values of 4.9–5 throughout the process, and only in the last two days does it drop to a value of 4.2. For the HA-18 yeast, the pH remains constant around values of 5.1</w:t>
      </w:r>
      <w:r>
        <w:rPr>
          <w:i w:val="0"/>
          <w:iCs/>
        </w:rPr>
        <w:t xml:space="preserve"> </w:t>
      </w:r>
      <w:r w:rsidRPr="002F5F79">
        <w:rPr>
          <w:i w:val="0"/>
          <w:iCs/>
        </w:rPr>
        <w:t>–</w:t>
      </w:r>
      <w:r>
        <w:rPr>
          <w:i w:val="0"/>
          <w:iCs/>
        </w:rPr>
        <w:t xml:space="preserve"> </w:t>
      </w:r>
      <w:r w:rsidRPr="002F5F79">
        <w:rPr>
          <w:i w:val="0"/>
          <w:iCs/>
        </w:rPr>
        <w:t>5.2 throughout the process, and only in the last two days does it drop to 4.8.</w:t>
      </w:r>
    </w:p>
    <w:p w14:paraId="659B3DAF" w14:textId="5D96533F" w:rsidR="002F5F79" w:rsidRDefault="00835A95" w:rsidP="002F5F79">
      <w:pPr>
        <w:pStyle w:val="CETCaption"/>
        <w:jc w:val="center"/>
        <w:rPr>
          <w:i w:val="0"/>
          <w:iCs/>
        </w:rPr>
      </w:pPr>
      <w:r w:rsidRPr="00835A95">
        <w:rPr>
          <w:i w:val="0"/>
          <w:iCs/>
        </w:rPr>
        <w:drawing>
          <wp:inline distT="0" distB="0" distL="0" distR="0" wp14:anchorId="6B048953" wp14:editId="3C285B95">
            <wp:extent cx="3248487" cy="1846613"/>
            <wp:effectExtent l="0" t="0" r="9525" b="1270"/>
            <wp:docPr id="26248639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486393" name=""/>
                    <pic:cNvPicPr/>
                  </pic:nvPicPr>
                  <pic:blipFill>
                    <a:blip r:embed="rId12"/>
                    <a:stretch>
                      <a:fillRect/>
                    </a:stretch>
                  </pic:blipFill>
                  <pic:spPr>
                    <a:xfrm>
                      <a:off x="0" y="0"/>
                      <a:ext cx="3272763" cy="1860413"/>
                    </a:xfrm>
                    <a:prstGeom prst="rect">
                      <a:avLst/>
                    </a:prstGeom>
                  </pic:spPr>
                </pic:pic>
              </a:graphicData>
            </a:graphic>
          </wp:inline>
        </w:drawing>
      </w:r>
    </w:p>
    <w:p w14:paraId="50602062" w14:textId="729F009E" w:rsidR="00280FD2" w:rsidRDefault="002F5F79" w:rsidP="00280FD2">
      <w:pPr>
        <w:pStyle w:val="CETCaption"/>
        <w:rPr>
          <w:rStyle w:val="CETCaptionCarattere"/>
          <w:i/>
        </w:rPr>
      </w:pPr>
      <w:r w:rsidRPr="002F5F79">
        <w:t>Fig</w:t>
      </w:r>
      <w:r>
        <w:t>ure</w:t>
      </w:r>
      <w:r w:rsidRPr="002F5F79">
        <w:t xml:space="preserve"> 3</w:t>
      </w:r>
      <w:r>
        <w:t>:</w:t>
      </w:r>
      <w:r w:rsidRPr="002F5F79">
        <w:t xml:space="preserve"> pH during the liquefaction and saccharification process of yam wort</w:t>
      </w:r>
      <w:r w:rsidR="00146BD2">
        <w:t>.</w:t>
      </w:r>
    </w:p>
    <w:p w14:paraId="10EF7BFE" w14:textId="06FB42B5" w:rsidR="00B67A8B" w:rsidRDefault="002F5F79" w:rsidP="00251AC3">
      <w:pPr>
        <w:pStyle w:val="CETCaption"/>
        <w:jc w:val="center"/>
      </w:pPr>
      <w:r w:rsidRPr="002F5F79">
        <w:t>.</w:t>
      </w:r>
      <w:r w:rsidR="00251AC3" w:rsidRPr="00251AC3">
        <w:rPr>
          <w:noProof/>
        </w:rPr>
        <w:t xml:space="preserve"> </w:t>
      </w:r>
      <w:r w:rsidR="00B06091" w:rsidRPr="009439B7">
        <w:rPr>
          <w:noProof/>
        </w:rPr>
        <w:drawing>
          <wp:inline distT="0" distB="0" distL="0" distR="0" wp14:anchorId="703ADE50" wp14:editId="53DAF04B">
            <wp:extent cx="3215136" cy="1929740"/>
            <wp:effectExtent l="0" t="0" r="4445" b="0"/>
            <wp:docPr id="2064021529" name="Immagine 1" descr="Immagine che contiene testo, Diagramma, linea,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021529" name="Immagine 1" descr="Immagine che contiene testo, Diagramma, linea, diagramma&#10;&#10;Il contenuto generato dall'IA potrebbe non essere corretto."/>
                    <pic:cNvPicPr/>
                  </pic:nvPicPr>
                  <pic:blipFill>
                    <a:blip r:embed="rId13"/>
                    <a:stretch>
                      <a:fillRect/>
                    </a:stretch>
                  </pic:blipFill>
                  <pic:spPr>
                    <a:xfrm>
                      <a:off x="0" y="0"/>
                      <a:ext cx="3250767" cy="1951126"/>
                    </a:xfrm>
                    <a:prstGeom prst="rect">
                      <a:avLst/>
                    </a:prstGeom>
                  </pic:spPr>
                </pic:pic>
              </a:graphicData>
            </a:graphic>
          </wp:inline>
        </w:drawing>
      </w:r>
    </w:p>
    <w:p w14:paraId="3016DA47" w14:textId="6A014966" w:rsidR="00B67A8B" w:rsidRDefault="00B67A8B" w:rsidP="00B67A8B">
      <w:pPr>
        <w:pStyle w:val="CETCaption"/>
        <w:rPr>
          <w:rStyle w:val="CETCaptionCarattere"/>
          <w:i/>
        </w:rPr>
      </w:pPr>
      <w:r w:rsidRPr="002F5F79">
        <w:t>Fig</w:t>
      </w:r>
      <w:r>
        <w:t>ure</w:t>
      </w:r>
      <w:r w:rsidRPr="002F5F79">
        <w:t xml:space="preserve"> </w:t>
      </w:r>
      <w:r>
        <w:t>4:</w:t>
      </w:r>
      <w:r w:rsidRPr="002F5F79">
        <w:t xml:space="preserve"> pH </w:t>
      </w:r>
      <w:r w:rsidRPr="00CD7097">
        <w:rPr>
          <w:rStyle w:val="CETCaptionCarattere"/>
          <w:i/>
        </w:rPr>
        <w:t>during the fermentation process using two commercial yeasts</w:t>
      </w:r>
      <w:r>
        <w:rPr>
          <w:rStyle w:val="CETCaptionCarattere"/>
          <w:i/>
        </w:rPr>
        <w:t>:</w:t>
      </w:r>
      <w:r w:rsidRPr="00CD7097">
        <w:t xml:space="preserve"> </w:t>
      </w:r>
      <w:r w:rsidR="00280FD2" w:rsidRPr="00CD7097">
        <w:rPr>
          <w:rStyle w:val="CETCaptionCarattere"/>
          <w:i/>
        </w:rPr>
        <w:t>Premier Classique (</w:t>
      </w:r>
      <w:r w:rsidR="005B0A21">
        <w:rPr>
          <w:rStyle w:val="CETCaptionCarattere"/>
          <w:i/>
        </w:rPr>
        <w:t xml:space="preserve">pH </w:t>
      </w:r>
      <w:r w:rsidR="00280FD2" w:rsidRPr="00CD7097">
        <w:rPr>
          <w:rStyle w:val="CETCaptionCarattere"/>
          <w:i/>
        </w:rPr>
        <w:t>PC)</w:t>
      </w:r>
      <w:r w:rsidR="00280FD2">
        <w:rPr>
          <w:rStyle w:val="CETCaptionCarattere"/>
          <w:i/>
        </w:rPr>
        <w:t xml:space="preserve"> in blue </w:t>
      </w:r>
      <w:r w:rsidR="00280FD2" w:rsidRPr="00CD7097">
        <w:rPr>
          <w:rStyle w:val="CETCaptionCarattere"/>
          <w:i/>
        </w:rPr>
        <w:t xml:space="preserve">and </w:t>
      </w:r>
      <w:proofErr w:type="spellStart"/>
      <w:r w:rsidR="00280FD2" w:rsidRPr="00CD7097">
        <w:rPr>
          <w:rStyle w:val="CETCaptionCarattere"/>
          <w:i/>
        </w:rPr>
        <w:t>SafBrew</w:t>
      </w:r>
      <w:proofErr w:type="spellEnd"/>
      <w:r w:rsidR="00280FD2" w:rsidRPr="00CD7097">
        <w:rPr>
          <w:rStyle w:val="CETCaptionCarattere"/>
          <w:i/>
        </w:rPr>
        <w:t xml:space="preserve"> HA-18 (</w:t>
      </w:r>
      <w:r w:rsidR="005B0A21">
        <w:rPr>
          <w:rStyle w:val="CETCaptionCarattere"/>
          <w:i/>
        </w:rPr>
        <w:t xml:space="preserve">pH </w:t>
      </w:r>
      <w:r w:rsidR="00280FD2" w:rsidRPr="00CD7097">
        <w:rPr>
          <w:rStyle w:val="CETCaptionCarattere"/>
          <w:i/>
        </w:rPr>
        <w:t>HA-18)</w:t>
      </w:r>
      <w:r w:rsidR="00280FD2">
        <w:rPr>
          <w:rStyle w:val="CETCaptionCarattere"/>
          <w:i/>
        </w:rPr>
        <w:t xml:space="preserve"> in </w:t>
      </w:r>
      <w:r w:rsidR="00F21C3E">
        <w:rPr>
          <w:rStyle w:val="CETCaptionCarattere"/>
          <w:i/>
        </w:rPr>
        <w:t>gr</w:t>
      </w:r>
      <w:r w:rsidR="001C4FDC">
        <w:rPr>
          <w:rStyle w:val="CETCaptionCarattere"/>
          <w:i/>
        </w:rPr>
        <w:t>ey</w:t>
      </w:r>
      <w:r w:rsidR="00F21C3E">
        <w:rPr>
          <w:rStyle w:val="CETCaptionCarattere"/>
          <w:i/>
        </w:rPr>
        <w:t xml:space="preserve"> line</w:t>
      </w:r>
      <w:r w:rsidR="00280FD2" w:rsidRPr="00CD7097">
        <w:rPr>
          <w:rStyle w:val="CETCaptionCarattere"/>
          <w:i/>
        </w:rPr>
        <w:t>.</w:t>
      </w:r>
    </w:p>
    <w:p w14:paraId="63519C96" w14:textId="5FDAA9C6" w:rsidR="00B67A8B" w:rsidRDefault="006B63A4" w:rsidP="00B67A8B">
      <w:pPr>
        <w:pStyle w:val="CETCaption"/>
        <w:rPr>
          <w:i w:val="0"/>
          <w:lang w:val="en-US"/>
        </w:rPr>
      </w:pPr>
      <w:r>
        <w:rPr>
          <w:i w:val="0"/>
          <w:lang w:val="en-US"/>
        </w:rPr>
        <w:t>The pH m</w:t>
      </w:r>
      <w:r w:rsidR="00B67A8B" w:rsidRPr="00B67A8B">
        <w:rPr>
          <w:i w:val="0"/>
          <w:lang w:val="en-US"/>
        </w:rPr>
        <w:t xml:space="preserve">onitoring is also a simple measurement to verify that enzymatic hydrolysis and fermentation are carried out under the appropriate conditions </w:t>
      </w:r>
      <w:r w:rsidR="00AD339C">
        <w:rPr>
          <w:i w:val="0"/>
          <w:lang w:val="en-US"/>
        </w:rPr>
        <w:fldChar w:fldCharType="begin" w:fldLock="1"/>
      </w:r>
      <w:r w:rsidR="000A4F1F">
        <w:rPr>
          <w:i w:val="0"/>
          <w:lang w:val="en-US"/>
        </w:rPr>
        <w:instrText>ADDIN CSL_CITATION {"citationItems":[{"id":"ITEM-1","itemData":{"DOI":"10.1016/j.ijfoodmicro.2009.01.035","ISSN":"1879-3460","PMID":"19246112","abstract":"The effects of temperature, pH and sugar concentration (50% glucose+50% fructose) on the growth parameters of Saccharomyces cerevisiae T73, S. kudriavzevii IFO 1802(T) and the hybrid strain S. cerevisiae x S. kudriavzevii W27 were studied by means of response surface methodology based in a central composite circumscribed design. Lag phase could not be properly modelled in the wine model system, where yeasts started the fermentation in few hours after inoculation. In the case of the maximum specific growth rate (micro(max)), the temperature was the most important variable for three yeasts, although the effects of sugar concentration (in T73 and W27) and pH (W27 and 1802) were also significant (p&lt;0.05). The only retained interaction was between the variables temperature and pH for yeast 1802. The polynomial equations built for micro(max) were used both to assess the behaviour of yeasts as a function of the factors and to predict their growth. In the case of temperature, the profiles obtained by the equations showed that response of the hybrid W27 was similar to T73 and different to 1802. When pH was the factor under study, the response of the hybrid W27 was closer to 1802 than yeast T73. For sugar concentration, the response of the hybrid W27 was similar to T73 but different to 1802. To the best of our knowledge, this is the first time that predictive models are used to assess and compare the response of a hybrid strain with respect to its parental species. The information obtained could also be useful to estimate the possible effect of climatic change on yeast growth.","author":[{"dropping-particle":"","family":"Arroyo-López","given":"F Noé","non-dropping-particle":"","parse-names":false,"suffix":""},{"dropping-particle":"","family":"Orlić","given":"Sandi","non-dropping-particle":"","parse-names":false,"suffix":""},{"dropping-particle":"","family":"Querol","given":"Amparo","non-dropping-particle":"","parse-names":false,"suffix":""},{"dropping-particle":"","family":"Barrio","given":"Eladio","non-dropping-particle":"","parse-names":false,"suffix":""}],"container-title":"International journal of food microbiology","id":"ITEM-1","issue":"2-3","issued":{"date-parts":[["2009","5","31"]]},"number-of-pages":"120-7","title":"Effects of temperature, pH and sugar concentration on the growth parameters of Saccharomyces cerevisiae, S. kudriavzevii and their interspecific hybrid.","type":"book","volume":"131"},"uris":["http://www.mendeley.com/documents/?uuid=b9276712-bfc6-4092-9c3a-bdc0440907c9"]},{"id":"ITEM-2","itemData":{"DOI":"10.3390/beverages2040030","ISSN":"23065710","abstract":"Alcoholic beverages are produced following the fermentation of sugars by yeasts, mainly (but not exclusively) strains of the species, Saccharomyces cerevisiae. The sugary starting materials may emanate from cereal starches (which require enzymatic pre-hydrolysis) in the case of beers and whiskies, sucrose-rich plants (molasses or sugar juice from sugarcane) in the case of rums, or from fruits (which do not require pre-hydrolysis) in the case of wines and brandies. In the presence of sugars, together with other essential nutrients such as amino acids, minerals and vitamins, S. cerevisiae will conduct fermentative metabolism to ethanol and carbon dioxide (as the primary fermentation metabolites) as the cells strive to make energy and regenerate the coenzyme NAD+ under anaerobic conditions. Yeasts will also produce numerous secondary metabolites which act as important beverage flavour congeners, including higher alcohols, esters, carbonyls and sulphur compounds. These are very important in dictating the final flavour and aroma characteristics of beverages such as beer and wine, but also in distilled beverages such as whisky, rum and brandy. Therefore, yeasts are of vital importance in providing the alcohol content and the sensory profiles of such beverages. This Introductory Chapter reviews, in general, the growth, physiology and metabolism of S. cerevisiae in alcoholic beverage fermentations.","author":[{"dropping-particle":"","family":"Walker","given":"Graeme M.","non-dropping-particle":"","parse-names":false,"suffix":""},{"dropping-particle":"","family":"Stewart","given":"Graham G.","non-dropping-particle":"","parse-names":false,"suffix":""}],"container-title":"Beverages","id":"ITEM-2","issue":"4","issued":{"date-parts":[["2016"]]},"page":"1-12","title":"Saccharomyces cerevisiae in the production of fermented beverages","type":"article-journal","volume":"2"},"uris":["http://www.mendeley.com/documents/?uuid=f4cfc922-3b3c-498f-b066-5a26e54fb925"]}],"mendeley":{"formattedCitation":"(Arroyo-López &lt;i&gt;et al.&lt;/i&gt;, 2009; Walker and Stewart, 2016)","plainTextFormattedCitation":"(Arroyo-López et al., 2009; Walker and Stewart, 2016)","previouslyFormattedCitation":"(Arroyo-López &lt;i&gt;et al.&lt;/i&gt;, 2009; Walker and Stewart, 2016)"},"properties":{"noteIndex":0},"schema":"https://github.com/citation-style-language/schema/raw/master/csl-citation.json"}</w:instrText>
      </w:r>
      <w:r w:rsidR="00AD339C">
        <w:rPr>
          <w:i w:val="0"/>
          <w:lang w:val="en-US"/>
        </w:rPr>
        <w:fldChar w:fldCharType="separate"/>
      </w:r>
      <w:r w:rsidR="000A4F1F" w:rsidRPr="000A4F1F">
        <w:rPr>
          <w:i w:val="0"/>
          <w:noProof/>
          <w:lang w:val="en-US"/>
        </w:rPr>
        <w:t xml:space="preserve">(Arroyo-López </w:t>
      </w:r>
      <w:r w:rsidR="000A4F1F" w:rsidRPr="000A4F1F">
        <w:rPr>
          <w:noProof/>
          <w:lang w:val="en-US"/>
        </w:rPr>
        <w:t>et al.</w:t>
      </w:r>
      <w:r w:rsidR="000A4F1F" w:rsidRPr="000A4F1F">
        <w:rPr>
          <w:i w:val="0"/>
          <w:noProof/>
          <w:lang w:val="en-US"/>
        </w:rPr>
        <w:t>, 2009; Walker and Stewart, 2016)</w:t>
      </w:r>
      <w:r w:rsidR="00AD339C">
        <w:rPr>
          <w:i w:val="0"/>
          <w:lang w:val="en-US"/>
        </w:rPr>
        <w:fldChar w:fldCharType="end"/>
      </w:r>
      <w:r w:rsidR="00AD339C">
        <w:rPr>
          <w:i w:val="0"/>
          <w:lang w:val="en-US"/>
        </w:rPr>
        <w:t xml:space="preserve">, </w:t>
      </w:r>
      <w:r w:rsidR="00B67A8B" w:rsidRPr="00B67A8B">
        <w:rPr>
          <w:i w:val="0"/>
          <w:lang w:val="en-US"/>
        </w:rPr>
        <w:t>and to ensure that undesired processes such as acetic acid production do not occur.</w:t>
      </w:r>
      <w:r w:rsidR="00B67A8B">
        <w:rPr>
          <w:i w:val="0"/>
          <w:lang w:val="en-US"/>
        </w:rPr>
        <w:t xml:space="preserve"> </w:t>
      </w:r>
      <w:r w:rsidR="00B67A8B" w:rsidRPr="00B67A8B">
        <w:rPr>
          <w:i w:val="0"/>
          <w:lang w:val="en-US"/>
        </w:rPr>
        <w:t>The reducing sugar method (DNS) was used, which involves sugars with their intact carbonyl group (functional group) of the anomeric carbon</w:t>
      </w:r>
      <w:r w:rsidR="00AD339C">
        <w:rPr>
          <w:i w:val="0"/>
          <w:lang w:val="en-US"/>
        </w:rPr>
        <w:t xml:space="preserve"> </w:t>
      </w:r>
      <w:r w:rsidR="00B67A8B" w:rsidRPr="00B67A8B">
        <w:rPr>
          <w:i w:val="0"/>
          <w:lang w:val="en-US"/>
        </w:rPr>
        <w:t xml:space="preserve">(Martinez Trujillo, 2022), which can be an aldehyde or ketone, such as glucose and maltose, </w:t>
      </w:r>
      <w:proofErr w:type="gramStart"/>
      <w:r w:rsidR="00427051" w:rsidRPr="00B67A8B">
        <w:rPr>
          <w:i w:val="0"/>
          <w:lang w:val="en-US"/>
        </w:rPr>
        <w:t>sugar</w:t>
      </w:r>
      <w:r w:rsidR="00427051">
        <w:rPr>
          <w:i w:val="0"/>
          <w:lang w:val="en-US"/>
        </w:rPr>
        <w:t>s</w:t>
      </w:r>
      <w:proofErr w:type="gramEnd"/>
      <w:r w:rsidR="00B67A8B" w:rsidRPr="00B67A8B">
        <w:rPr>
          <w:i w:val="0"/>
          <w:lang w:val="en-US"/>
        </w:rPr>
        <w:t xml:space="preserve"> derived from starch hydrolysis and that can be fermented by yeasts. The results obtained with this method were 3.2 ± 0.04 g/L for </w:t>
      </w:r>
      <w:r w:rsidR="00B67A8B" w:rsidRPr="00B67A8B">
        <w:rPr>
          <w:i w:val="0"/>
          <w:lang w:val="en-US"/>
        </w:rPr>
        <w:lastRenderedPageBreak/>
        <w:t xml:space="preserve">the hydrolyzed </w:t>
      </w:r>
      <w:proofErr w:type="gramStart"/>
      <w:r w:rsidR="00B67A8B" w:rsidRPr="00B67A8B">
        <w:rPr>
          <w:i w:val="0"/>
          <w:lang w:val="en-US"/>
        </w:rPr>
        <w:t>wort</w:t>
      </w:r>
      <w:proofErr w:type="gramEnd"/>
      <w:r w:rsidR="00B67A8B" w:rsidRPr="00B67A8B">
        <w:rPr>
          <w:i w:val="0"/>
          <w:lang w:val="en-US"/>
        </w:rPr>
        <w:t xml:space="preserve"> before fermentation, 0.55 ± 0.05 g/L for the PC yeast, and 0.3 ± 0.04 g/L for the HA-18 yeast.</w:t>
      </w:r>
      <w:r w:rsidR="00B67A8B">
        <w:rPr>
          <w:i w:val="0"/>
          <w:lang w:val="en-US"/>
        </w:rPr>
        <w:t xml:space="preserve"> </w:t>
      </w:r>
      <w:r w:rsidR="00B67A8B" w:rsidRPr="00B67A8B">
        <w:rPr>
          <w:i w:val="0"/>
          <w:lang w:val="en-US"/>
        </w:rPr>
        <w:t xml:space="preserve">The total acidity was 0.075 ± 0.05 g/L for the hydrolyzed wort before fermentation, 0.9 ± 0.1 g/L for the Premier Classique yeast, and 2.2 ± 0.4 g/L for the </w:t>
      </w:r>
      <w:proofErr w:type="spellStart"/>
      <w:r w:rsidR="00B67A8B" w:rsidRPr="00B67A8B">
        <w:rPr>
          <w:i w:val="0"/>
          <w:lang w:val="en-US"/>
        </w:rPr>
        <w:t>SafBrew</w:t>
      </w:r>
      <w:proofErr w:type="spellEnd"/>
      <w:r w:rsidR="00B67A8B" w:rsidRPr="00B67A8B">
        <w:rPr>
          <w:i w:val="0"/>
          <w:lang w:val="en-US"/>
        </w:rPr>
        <w:t xml:space="preserve"> HA-18 yeast. These values are much lower than the reference values of NTC 1588:2004 </w:t>
      </w:r>
      <w:r w:rsidR="00AD339C">
        <w:rPr>
          <w:i w:val="0"/>
          <w:lang w:val="en-US"/>
        </w:rPr>
        <w:fldChar w:fldCharType="begin" w:fldLock="1"/>
      </w:r>
      <w:r w:rsidR="00AD339C">
        <w:rPr>
          <w:i w:val="0"/>
          <w:lang w:val="en-US"/>
        </w:rPr>
        <w:instrText>ADDIN CSL_CITATION {"citationItems":[{"id":"ITEM-1","itemData":{"author":[{"dropping-particle":"","family":"Icontec","given":"","non-dropping-particle":"","parse-names":false,"suffix":""}],"id":"ITEM-1","issued":{"date-parts":[["2004"]]},"title":"Norma Tecnica Colombiana NTC 1588:2004. Bebidas alcoholicas. Vinos espumosos.","type":"article"},"uris":["http://www.mendeley.com/documents/?uuid=db272a6a-8a3e-4aa6-93d3-04ec31157317"]}],"mendeley":{"formattedCitation":"(Icontec, 2004)","plainTextFormattedCitation":"(Icontec, 2004)","previouslyFormattedCitation":"(Icontec, 2004)"},"properties":{"noteIndex":0},"schema":"https://github.com/citation-style-language/schema/raw/master/csl-citation.json"}</w:instrText>
      </w:r>
      <w:r w:rsidR="00AD339C">
        <w:rPr>
          <w:i w:val="0"/>
          <w:lang w:val="en-US"/>
        </w:rPr>
        <w:fldChar w:fldCharType="separate"/>
      </w:r>
      <w:r w:rsidR="00AD339C" w:rsidRPr="00AD339C">
        <w:rPr>
          <w:i w:val="0"/>
          <w:noProof/>
          <w:lang w:val="en-US"/>
        </w:rPr>
        <w:t>(Icontec, 2004)</w:t>
      </w:r>
      <w:r w:rsidR="00AD339C">
        <w:rPr>
          <w:i w:val="0"/>
          <w:lang w:val="en-US"/>
        </w:rPr>
        <w:fldChar w:fldCharType="end"/>
      </w:r>
      <w:r w:rsidR="00B67A8B" w:rsidRPr="00B67A8B">
        <w:rPr>
          <w:i w:val="0"/>
          <w:lang w:val="en-US"/>
        </w:rPr>
        <w:t xml:space="preserve"> for alcoholic beverages such as wine, expressed in g of tartaric acid/L.</w:t>
      </w:r>
      <w:r w:rsidR="00B67A8B">
        <w:rPr>
          <w:i w:val="0"/>
          <w:lang w:val="en-US"/>
        </w:rPr>
        <w:t xml:space="preserve"> </w:t>
      </w:r>
      <w:r w:rsidR="00B67A8B" w:rsidRPr="00B67A8B">
        <w:rPr>
          <w:i w:val="0"/>
          <w:lang w:val="en-US"/>
        </w:rPr>
        <w:t xml:space="preserve">The volatile acidity was 0.66 ± 0.2 g/L for the PC yeast and 1.23 ± 0.4 g/L for the HA-18 yeast. These values are lower; only the HA-18 yeast is at the limit (1.2 g/L) of the reference value of NTC 1588:2004 </w:t>
      </w:r>
      <w:r w:rsidR="00AD339C">
        <w:rPr>
          <w:i w:val="0"/>
          <w:lang w:val="en-US"/>
        </w:rPr>
        <w:fldChar w:fldCharType="begin" w:fldLock="1"/>
      </w:r>
      <w:r w:rsidR="00095ED8">
        <w:rPr>
          <w:i w:val="0"/>
          <w:lang w:val="en-US"/>
        </w:rPr>
        <w:instrText>ADDIN CSL_CITATION {"citationItems":[{"id":"ITEM-1","itemData":{"author":[{"dropping-particle":"","family":"Icontec","given":"","non-dropping-particle":"","parse-names":false,"suffix":""}],"id":"ITEM-1","issued":{"date-parts":[["2004"]]},"title":"Norma Tecnica Colombiana NTC 1588:2004. Bebidas alcoholicas. Vinos espumosos.","type":"article"},"uris":["http://www.mendeley.com/documents/?uuid=db272a6a-8a3e-4aa6-93d3-04ec31157317"]}],"mendeley":{"formattedCitation":"(Icontec, 2004)","plainTextFormattedCitation":"(Icontec, 2004)","previouslyFormattedCitation":"(Icontec, 2004)"},"properties":{"noteIndex":0},"schema":"https://github.com/citation-style-language/schema/raw/master/csl-citation.json"}</w:instrText>
      </w:r>
      <w:r w:rsidR="00AD339C">
        <w:rPr>
          <w:i w:val="0"/>
          <w:lang w:val="en-US"/>
        </w:rPr>
        <w:fldChar w:fldCharType="separate"/>
      </w:r>
      <w:r w:rsidR="00AD339C" w:rsidRPr="00AD339C">
        <w:rPr>
          <w:i w:val="0"/>
          <w:noProof/>
          <w:lang w:val="en-US"/>
        </w:rPr>
        <w:t>(Icontec, 2004)</w:t>
      </w:r>
      <w:r w:rsidR="00AD339C">
        <w:rPr>
          <w:i w:val="0"/>
          <w:lang w:val="en-US"/>
        </w:rPr>
        <w:fldChar w:fldCharType="end"/>
      </w:r>
      <w:r w:rsidR="00B67A8B" w:rsidRPr="00B67A8B">
        <w:rPr>
          <w:i w:val="0"/>
          <w:lang w:val="en-US"/>
        </w:rPr>
        <w:t xml:space="preserve"> for alcoholic beverages such as wine, expressed in g of acetic acid/L.</w:t>
      </w:r>
      <w:r w:rsidR="00B67A8B">
        <w:rPr>
          <w:i w:val="0"/>
          <w:lang w:val="en-US"/>
        </w:rPr>
        <w:t xml:space="preserve"> </w:t>
      </w:r>
      <w:r w:rsidR="00B67A8B" w:rsidRPr="00B67A8B">
        <w:rPr>
          <w:i w:val="0"/>
          <w:lang w:val="en-US"/>
        </w:rPr>
        <w:t xml:space="preserve">The ethanol </w:t>
      </w:r>
      <w:r w:rsidR="005C1A5F" w:rsidRPr="00B67A8B">
        <w:rPr>
          <w:i w:val="0"/>
          <w:lang w:val="en-US"/>
        </w:rPr>
        <w:t>content was</w:t>
      </w:r>
      <w:r w:rsidR="00B67A8B" w:rsidRPr="00B67A8B">
        <w:rPr>
          <w:i w:val="0"/>
          <w:lang w:val="en-US"/>
        </w:rPr>
        <w:t xml:space="preserve"> 11% v/v for the PC yeast and 10% v/v for the HA-18 yeast, and the methanol content was 31.8 mg/</w:t>
      </w:r>
      <w:r w:rsidR="00095ED8">
        <w:rPr>
          <w:i w:val="0"/>
          <w:lang w:val="en-US"/>
        </w:rPr>
        <w:t>L</w:t>
      </w:r>
      <w:r w:rsidR="00B67A8B" w:rsidRPr="00B67A8B">
        <w:rPr>
          <w:i w:val="0"/>
          <w:lang w:val="en-US"/>
        </w:rPr>
        <w:t xml:space="preserve"> in the distillate obtained with both yeasts, values lower than the 100 mg/L maximum accepted value in NTC 305:1999 </w:t>
      </w:r>
      <w:r w:rsidR="00095ED8">
        <w:rPr>
          <w:i w:val="0"/>
          <w:lang w:val="en-US"/>
        </w:rPr>
        <w:fldChar w:fldCharType="begin" w:fldLock="1"/>
      </w:r>
      <w:r w:rsidR="00095ED8">
        <w:rPr>
          <w:i w:val="0"/>
          <w:lang w:val="en-US"/>
        </w:rPr>
        <w:instrText>ADDIN CSL_CITATION {"citationItems":[{"id":"ITEM-1","itemData":{"author":[{"dropping-particle":"","family":"Icontec","given":"","non-dropping-particle":"","parse-names":false,"suffix":""}],"id":"ITEM-1","issued":{"date-parts":[["1999"]]},"title":"Norma Tecnica Colombiana NTC 305:1999","type":"article"},"uris":["http://www.mendeley.com/documents/?uuid=24804ecb-8911-4adc-8b86-367199590913"]}],"mendeley":{"formattedCitation":"(Icontec, 1999)","plainTextFormattedCitation":"(Icontec, 1999)","previouslyFormattedCitation":"(Icontec, 1999)"},"properties":{"noteIndex":0},"schema":"https://github.com/citation-style-language/schema/raw/master/csl-citation.json"}</w:instrText>
      </w:r>
      <w:r w:rsidR="00095ED8">
        <w:rPr>
          <w:i w:val="0"/>
          <w:lang w:val="en-US"/>
        </w:rPr>
        <w:fldChar w:fldCharType="separate"/>
      </w:r>
      <w:r w:rsidR="00095ED8" w:rsidRPr="00095ED8">
        <w:rPr>
          <w:i w:val="0"/>
          <w:noProof/>
          <w:lang w:val="en-US"/>
        </w:rPr>
        <w:t>(Icontec, 1999)</w:t>
      </w:r>
      <w:r w:rsidR="00095ED8">
        <w:rPr>
          <w:i w:val="0"/>
          <w:lang w:val="en-US"/>
        </w:rPr>
        <w:fldChar w:fldCharType="end"/>
      </w:r>
      <w:r w:rsidR="00B67A8B" w:rsidRPr="00B67A8B">
        <w:rPr>
          <w:i w:val="0"/>
          <w:lang w:val="en-US"/>
        </w:rPr>
        <w:t>.</w:t>
      </w:r>
    </w:p>
    <w:p w14:paraId="00307FB7" w14:textId="5E326922" w:rsidR="008167F0" w:rsidRDefault="008167F0" w:rsidP="008167F0">
      <w:pPr>
        <w:pStyle w:val="CETCaption"/>
        <w:jc w:val="center"/>
        <w:rPr>
          <w:i w:val="0"/>
          <w:lang w:val="en-US"/>
        </w:rPr>
      </w:pPr>
      <w:r w:rsidRPr="00BA37C0">
        <w:rPr>
          <w:rStyle w:val="CETCaptionCarattere"/>
          <w:iCs/>
          <w:lang w:val="en-US"/>
        </w:rPr>
        <w:drawing>
          <wp:inline distT="0" distB="0" distL="0" distR="0" wp14:anchorId="4EF818B0" wp14:editId="5C4400B3">
            <wp:extent cx="5347640" cy="1828800"/>
            <wp:effectExtent l="0" t="0" r="5715" b="0"/>
            <wp:docPr id="1436449076" name="Immagine 1" descr="Immagine che contiene testo, diagramma, linea, ce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49076" name="Immagine 1" descr="Immagine che contiene testo, diagramma, linea, cerchio&#10;&#10;Il contenuto generato dall'IA potrebbe non essere corretto."/>
                    <pic:cNvPicPr/>
                  </pic:nvPicPr>
                  <pic:blipFill>
                    <a:blip r:embed="rId14"/>
                    <a:stretch>
                      <a:fillRect/>
                    </a:stretch>
                  </pic:blipFill>
                  <pic:spPr>
                    <a:xfrm>
                      <a:off x="0" y="0"/>
                      <a:ext cx="5651847" cy="1932834"/>
                    </a:xfrm>
                    <a:prstGeom prst="rect">
                      <a:avLst/>
                    </a:prstGeom>
                  </pic:spPr>
                </pic:pic>
              </a:graphicData>
            </a:graphic>
          </wp:inline>
        </w:drawing>
      </w:r>
    </w:p>
    <w:p w14:paraId="098488D5" w14:textId="77777777" w:rsidR="008167F0" w:rsidRPr="002F5F79" w:rsidRDefault="008167F0" w:rsidP="008167F0">
      <w:pPr>
        <w:pStyle w:val="CETCaption"/>
      </w:pPr>
      <w:r w:rsidRPr="002F5F79">
        <w:t>Fig</w:t>
      </w:r>
      <w:r>
        <w:t>ure</w:t>
      </w:r>
      <w:r w:rsidRPr="002F5F79">
        <w:t xml:space="preserve"> </w:t>
      </w:r>
      <w:r>
        <w:t>5:</w:t>
      </w:r>
      <w:r w:rsidRPr="002F5F79">
        <w:t xml:space="preserve"> </w:t>
      </w:r>
      <w:r>
        <w:t>Score and loading plot</w:t>
      </w:r>
      <w:r w:rsidRPr="005C1A5F">
        <w:t xml:space="preserve"> of the Principal Component Analysis (PCA) of yam distillate samples distilled in copper </w:t>
      </w:r>
      <w:r>
        <w:t>still</w:t>
      </w:r>
      <w:r w:rsidRPr="005C1A5F">
        <w:t xml:space="preserve"> (</w:t>
      </w:r>
      <w:proofErr w:type="spellStart"/>
      <w:r w:rsidRPr="005C1A5F">
        <w:t>Dist</w:t>
      </w:r>
      <w:proofErr w:type="spellEnd"/>
      <w:r w:rsidRPr="005C1A5F">
        <w:t xml:space="preserve"> PC 40% and HA-18 84%)</w:t>
      </w:r>
      <w:r>
        <w:t xml:space="preserve"> in blue circle</w:t>
      </w:r>
      <w:r w:rsidRPr="005C1A5F">
        <w:t xml:space="preserve"> and distilled in glass (PC 11% and HA-18 10%)</w:t>
      </w:r>
      <w:r>
        <w:t xml:space="preserve"> in red circle</w:t>
      </w:r>
      <w:r w:rsidRPr="005C1A5F">
        <w:t>.</w:t>
      </w:r>
    </w:p>
    <w:p w14:paraId="640BAE5C" w14:textId="5E3D07A6" w:rsidR="00B67A8B" w:rsidRPr="008167F0" w:rsidRDefault="006B63A4" w:rsidP="008167F0">
      <w:pPr>
        <w:pStyle w:val="CETCaption"/>
        <w:rPr>
          <w:rStyle w:val="CETCaptionCarattere"/>
          <w:lang w:val="en-US"/>
        </w:rPr>
      </w:pPr>
      <w:r>
        <w:rPr>
          <w:i w:val="0"/>
          <w:lang w:val="en-US"/>
        </w:rPr>
        <w:t xml:space="preserve">The electronic tongue data were elaborated by </w:t>
      </w:r>
      <w:r w:rsidRPr="00B67A8B">
        <w:rPr>
          <w:i w:val="0"/>
          <w:lang w:val="en-US"/>
        </w:rPr>
        <w:t>Principal Component Analysis (PCA)</w:t>
      </w:r>
      <w:r>
        <w:rPr>
          <w:i w:val="0"/>
          <w:lang w:val="en-US"/>
        </w:rPr>
        <w:t xml:space="preserve">. </w:t>
      </w:r>
      <w:r w:rsidR="007D4026" w:rsidRPr="00D72CF3">
        <w:rPr>
          <w:rStyle w:val="CETBodytextCarattere"/>
          <w:i w:val="0"/>
          <w:iCs/>
        </w:rPr>
        <w:t xml:space="preserve">Principal Component Analysis (PCA) is a widely employed statistical technique for dimensionality reduction and feature extraction. It operates by orthogonally transforming a set of possibly correlated variables into a set of linearly uncorrelated variables, termed principal components. These components are ordered by the amount of variance they explain in the original dataset, with the first principal component capturing the maximum variance, and subsequent components capturing progressively less. </w:t>
      </w:r>
      <w:r>
        <w:rPr>
          <w:i w:val="0"/>
          <w:lang w:val="en-US"/>
        </w:rPr>
        <w:t xml:space="preserve">In </w:t>
      </w:r>
      <w:r w:rsidR="00B67A8B" w:rsidRPr="00B67A8B">
        <w:rPr>
          <w:i w:val="0"/>
          <w:lang w:val="en-US"/>
        </w:rPr>
        <w:t xml:space="preserve">Figure </w:t>
      </w:r>
      <w:r w:rsidR="005C1A5F">
        <w:rPr>
          <w:i w:val="0"/>
          <w:lang w:val="en-US"/>
        </w:rPr>
        <w:t>5</w:t>
      </w:r>
      <w:r w:rsidR="00B67A8B" w:rsidRPr="00B67A8B">
        <w:rPr>
          <w:i w:val="0"/>
          <w:lang w:val="en-US"/>
        </w:rPr>
        <w:t xml:space="preserve"> </w:t>
      </w:r>
      <w:r>
        <w:rPr>
          <w:i w:val="0"/>
          <w:lang w:val="en-US"/>
        </w:rPr>
        <w:t xml:space="preserve">is </w:t>
      </w:r>
      <w:r w:rsidR="00B67A8B" w:rsidRPr="00B67A8B">
        <w:rPr>
          <w:i w:val="0"/>
          <w:lang w:val="en-US"/>
        </w:rPr>
        <w:t>shows the score plot and loading plot</w:t>
      </w:r>
      <w:r>
        <w:rPr>
          <w:i w:val="0"/>
          <w:lang w:val="en-US"/>
        </w:rPr>
        <w:t xml:space="preserve"> of the two principal components (PCs)</w:t>
      </w:r>
      <w:r w:rsidR="00B67A8B" w:rsidRPr="00B67A8B">
        <w:rPr>
          <w:i w:val="0"/>
          <w:lang w:val="en-US"/>
        </w:rPr>
        <w:t xml:space="preserve"> explaining 83.95% of the total variance. The HA-18 10% sample (HA-18 yeast distilled in glass</w:t>
      </w:r>
      <w:r w:rsidR="00C31F63">
        <w:rPr>
          <w:i w:val="0"/>
          <w:lang w:val="en-US"/>
        </w:rPr>
        <w:t xml:space="preserve"> in the red circle</w:t>
      </w:r>
      <w:r w:rsidR="00B67A8B" w:rsidRPr="00B67A8B">
        <w:rPr>
          <w:i w:val="0"/>
          <w:lang w:val="en-US"/>
        </w:rPr>
        <w:t xml:space="preserve">) is </w:t>
      </w:r>
      <w:r w:rsidR="003A2BA8">
        <w:rPr>
          <w:i w:val="0"/>
          <w:lang w:val="en-US"/>
        </w:rPr>
        <w:t>discriminated against</w:t>
      </w:r>
      <w:r>
        <w:rPr>
          <w:i w:val="0"/>
          <w:lang w:val="en-US"/>
        </w:rPr>
        <w:t xml:space="preserve"> </w:t>
      </w:r>
      <w:r w:rsidR="00704DFC">
        <w:rPr>
          <w:i w:val="0"/>
          <w:lang w:val="en-US"/>
        </w:rPr>
        <w:t xml:space="preserve">in the negative part of </w:t>
      </w:r>
      <w:r>
        <w:rPr>
          <w:i w:val="0"/>
          <w:lang w:val="en-US"/>
        </w:rPr>
        <w:t>PC1</w:t>
      </w:r>
      <w:r w:rsidR="00B67A8B" w:rsidRPr="00B67A8B">
        <w:rPr>
          <w:i w:val="0"/>
          <w:lang w:val="en-US"/>
        </w:rPr>
        <w:t xml:space="preserve">, which explains 56.46% of the total variance, </w:t>
      </w:r>
      <w:r w:rsidR="00704DFC">
        <w:rPr>
          <w:i w:val="0"/>
          <w:lang w:val="en-US"/>
        </w:rPr>
        <w:t xml:space="preserve">and it is </w:t>
      </w:r>
      <w:r w:rsidR="00B67A8B" w:rsidRPr="00B67A8B">
        <w:rPr>
          <w:i w:val="0"/>
          <w:lang w:val="en-US"/>
        </w:rPr>
        <w:t xml:space="preserve">characterized by </w:t>
      </w:r>
      <w:r w:rsidR="00704DFC">
        <w:rPr>
          <w:i w:val="0"/>
          <w:lang w:val="en-US"/>
        </w:rPr>
        <w:t xml:space="preserve">sourness </w:t>
      </w:r>
      <w:r w:rsidR="00704DFC" w:rsidRPr="00704DFC">
        <w:rPr>
          <w:i w:val="0"/>
          <w:lang w:val="en-US"/>
        </w:rPr>
        <w:t xml:space="preserve">and </w:t>
      </w:r>
      <w:r w:rsidR="002C7508" w:rsidRPr="00704DFC">
        <w:rPr>
          <w:i w:val="0"/>
          <w:lang w:val="en-US"/>
        </w:rPr>
        <w:t>recognized as</w:t>
      </w:r>
      <w:r w:rsidR="00704DFC" w:rsidRPr="00704DFC">
        <w:rPr>
          <w:i w:val="0"/>
          <w:lang w:val="en-US"/>
        </w:rPr>
        <w:t xml:space="preserve"> </w:t>
      </w:r>
      <w:r w:rsidR="00704DFC">
        <w:rPr>
          <w:i w:val="0"/>
          <w:lang w:val="en-US"/>
        </w:rPr>
        <w:t>less</w:t>
      </w:r>
      <w:r w:rsidR="00704DFC" w:rsidRPr="00704DFC">
        <w:rPr>
          <w:i w:val="0"/>
          <w:lang w:val="en-US"/>
        </w:rPr>
        <w:t xml:space="preserve"> bitter and astringent.</w:t>
      </w:r>
      <w:r w:rsidR="00B67A8B" w:rsidRPr="00B67A8B">
        <w:rPr>
          <w:i w:val="0"/>
          <w:lang w:val="en-US"/>
        </w:rPr>
        <w:t xml:space="preserve"> The second principal component discriminates the glass-distilled PC11% </w:t>
      </w:r>
      <w:r w:rsidR="003A2BA8">
        <w:rPr>
          <w:i w:val="0"/>
          <w:lang w:val="en-US"/>
        </w:rPr>
        <w:t>from</w:t>
      </w:r>
      <w:r w:rsidR="00704DFC" w:rsidRPr="00B67A8B">
        <w:rPr>
          <w:i w:val="0"/>
          <w:lang w:val="en-US"/>
        </w:rPr>
        <w:t xml:space="preserve"> samples distilled in copper </w:t>
      </w:r>
      <w:r w:rsidR="00704DFC">
        <w:rPr>
          <w:i w:val="0"/>
          <w:lang w:val="en-US"/>
        </w:rPr>
        <w:t>(</w:t>
      </w:r>
      <w:r w:rsidR="00B67A8B" w:rsidRPr="00B67A8B">
        <w:rPr>
          <w:i w:val="0"/>
          <w:lang w:val="en-US"/>
        </w:rPr>
        <w:t>the HA-18 84% and PC 40%</w:t>
      </w:r>
      <w:r w:rsidR="00704DFC">
        <w:rPr>
          <w:i w:val="0"/>
          <w:lang w:val="en-US"/>
        </w:rPr>
        <w:t>)</w:t>
      </w:r>
      <w:r w:rsidR="00A1461C">
        <w:rPr>
          <w:i w:val="0"/>
          <w:lang w:val="en-US"/>
        </w:rPr>
        <w:t xml:space="preserve"> in blue circle</w:t>
      </w:r>
      <w:r w:rsidR="00B67A8B" w:rsidRPr="00B67A8B">
        <w:rPr>
          <w:i w:val="0"/>
          <w:lang w:val="en-US"/>
        </w:rPr>
        <w:t xml:space="preserve">. </w:t>
      </w:r>
      <w:r w:rsidR="00704DFC">
        <w:rPr>
          <w:i w:val="0"/>
          <w:lang w:val="en-US"/>
        </w:rPr>
        <w:t>In particular, t</w:t>
      </w:r>
      <w:r w:rsidR="00B67A8B" w:rsidRPr="00B67A8B">
        <w:rPr>
          <w:i w:val="0"/>
          <w:lang w:val="en-US"/>
        </w:rPr>
        <w:t xml:space="preserve">he PC 11% samples </w:t>
      </w:r>
      <w:r w:rsidR="00704DFC">
        <w:rPr>
          <w:i w:val="0"/>
          <w:lang w:val="en-US"/>
        </w:rPr>
        <w:t>are characterized by</w:t>
      </w:r>
      <w:r w:rsidR="00B67A8B" w:rsidRPr="00B67A8B">
        <w:rPr>
          <w:i w:val="0"/>
          <w:lang w:val="en-US"/>
        </w:rPr>
        <w:t xml:space="preserve"> astringen</w:t>
      </w:r>
      <w:r w:rsidR="00704DFC">
        <w:rPr>
          <w:i w:val="0"/>
          <w:lang w:val="en-US"/>
        </w:rPr>
        <w:t>cy</w:t>
      </w:r>
      <w:r w:rsidR="00B67A8B" w:rsidRPr="00B67A8B">
        <w:rPr>
          <w:i w:val="0"/>
          <w:lang w:val="en-US"/>
        </w:rPr>
        <w:t xml:space="preserve">, while the copper-distilled samples (HA-18 84% and PC 40%) are perceived </w:t>
      </w:r>
      <w:r w:rsidR="00704DFC">
        <w:rPr>
          <w:i w:val="0"/>
          <w:lang w:val="en-US"/>
        </w:rPr>
        <w:t>as more</w:t>
      </w:r>
      <w:r w:rsidR="00B67A8B" w:rsidRPr="00B67A8B">
        <w:rPr>
          <w:i w:val="0"/>
          <w:lang w:val="en-US"/>
        </w:rPr>
        <w:t xml:space="preserve"> bitter</w:t>
      </w:r>
      <w:r w:rsidR="00704DFC">
        <w:rPr>
          <w:i w:val="0"/>
          <w:lang w:val="en-US"/>
        </w:rPr>
        <w:t xml:space="preserve"> and are characterized by </w:t>
      </w:r>
      <w:r w:rsidR="00B67A8B" w:rsidRPr="00B67A8B">
        <w:rPr>
          <w:i w:val="0"/>
          <w:lang w:val="en-US"/>
        </w:rPr>
        <w:t xml:space="preserve">umami </w:t>
      </w:r>
      <w:r w:rsidR="00704DFC">
        <w:rPr>
          <w:i w:val="0"/>
          <w:lang w:val="en-US"/>
        </w:rPr>
        <w:t>taste</w:t>
      </w:r>
      <w:r w:rsidR="00704DFC" w:rsidRPr="00B67A8B">
        <w:rPr>
          <w:i w:val="0"/>
          <w:lang w:val="en-US"/>
        </w:rPr>
        <w:t xml:space="preserve"> </w:t>
      </w:r>
      <w:r w:rsidR="00B67A8B" w:rsidRPr="00B67A8B">
        <w:rPr>
          <w:i w:val="0"/>
          <w:lang w:val="en-US"/>
        </w:rPr>
        <w:t>and</w:t>
      </w:r>
      <w:r w:rsidR="00704DFC">
        <w:rPr>
          <w:i w:val="0"/>
          <w:lang w:val="en-US"/>
        </w:rPr>
        <w:t xml:space="preserve"> by</w:t>
      </w:r>
      <w:r w:rsidR="00B67A8B" w:rsidRPr="00B67A8B">
        <w:rPr>
          <w:i w:val="0"/>
          <w:lang w:val="en-US"/>
        </w:rPr>
        <w:t xml:space="preserve"> bitterness and astringency</w:t>
      </w:r>
      <w:r w:rsidR="00704DFC">
        <w:rPr>
          <w:i w:val="0"/>
          <w:lang w:val="en-US"/>
        </w:rPr>
        <w:t xml:space="preserve"> aftertastes</w:t>
      </w:r>
      <w:r w:rsidR="00B67A8B" w:rsidRPr="00B67A8B">
        <w:rPr>
          <w:i w:val="0"/>
          <w:lang w:val="en-US"/>
        </w:rPr>
        <w:t xml:space="preserve">. The ability of the electronic tongue to </w:t>
      </w:r>
      <w:r w:rsidR="003A2BA8" w:rsidRPr="00B67A8B">
        <w:rPr>
          <w:i w:val="0"/>
          <w:lang w:val="en-US"/>
        </w:rPr>
        <w:t>d</w:t>
      </w:r>
      <w:r w:rsidR="003A2BA8">
        <w:rPr>
          <w:i w:val="0"/>
          <w:lang w:val="en-US"/>
        </w:rPr>
        <w:t>iscriminate</w:t>
      </w:r>
      <w:r w:rsidR="00FB2733" w:rsidRPr="00B67A8B">
        <w:rPr>
          <w:i w:val="0"/>
          <w:lang w:val="en-US"/>
        </w:rPr>
        <w:t xml:space="preserve"> </w:t>
      </w:r>
      <w:r w:rsidR="00B67A8B" w:rsidRPr="00B67A8B">
        <w:rPr>
          <w:i w:val="0"/>
          <w:lang w:val="en-US"/>
        </w:rPr>
        <w:t>glass-distilled samples based on the yeast used was demonstrated, although no significant differences were detected in the copper-distilled samples.</w:t>
      </w:r>
    </w:p>
    <w:p w14:paraId="74EFE2AC" w14:textId="593F6712" w:rsidR="005C1A5F" w:rsidRPr="005C1A5F" w:rsidRDefault="00600535" w:rsidP="005C1A5F">
      <w:pPr>
        <w:pStyle w:val="CETHeading1"/>
        <w:rPr>
          <w:lang w:val="en-GB"/>
        </w:rPr>
      </w:pPr>
      <w:r w:rsidRPr="00B57B36">
        <w:rPr>
          <w:lang w:val="en-GB"/>
        </w:rPr>
        <w:t>Conclusions</w:t>
      </w:r>
    </w:p>
    <w:p w14:paraId="59684F75" w14:textId="36A45AF5" w:rsidR="005C1A5F" w:rsidRPr="005C1A5F" w:rsidRDefault="005C1A5F" w:rsidP="005C1A5F">
      <w:pPr>
        <w:pStyle w:val="CETBodytext"/>
        <w:rPr>
          <w:lang w:val="en-GB"/>
        </w:rPr>
      </w:pPr>
      <w:r w:rsidRPr="005C1A5F">
        <w:rPr>
          <w:lang w:val="en-GB"/>
        </w:rPr>
        <w:t xml:space="preserve">It was demonstrated that yam can be used as a substrate to produce fermented beverages, which, after being distilled, generate alcoholic products with higher added value and a higher selling price than the unprocessed product. An efficient methodology was developed for the enzymatic hydrolysis of starch, and two commercial yeast strains were evaluated, observing different fermentation rates between them. </w:t>
      </w:r>
      <w:r w:rsidR="002F56FD">
        <w:rPr>
          <w:lang w:val="en-GB"/>
        </w:rPr>
        <w:t xml:space="preserve">In </w:t>
      </w:r>
      <w:r w:rsidR="00702FEF">
        <w:rPr>
          <w:lang w:val="en-GB"/>
        </w:rPr>
        <w:t xml:space="preserve">any step of the production of the wort was monitoring the Brix </w:t>
      </w:r>
      <w:r w:rsidR="00F0283F">
        <w:rPr>
          <w:lang w:val="en-GB"/>
        </w:rPr>
        <w:t xml:space="preserve">degree </w:t>
      </w:r>
      <w:r w:rsidR="00702FEF">
        <w:rPr>
          <w:lang w:val="en-GB"/>
        </w:rPr>
        <w:t>and pH</w:t>
      </w:r>
      <w:r w:rsidR="00427051">
        <w:rPr>
          <w:lang w:val="en-GB"/>
        </w:rPr>
        <w:t>, reducing sugar</w:t>
      </w:r>
      <w:r w:rsidR="00170290">
        <w:rPr>
          <w:lang w:val="en-GB"/>
        </w:rPr>
        <w:t xml:space="preserve"> was </w:t>
      </w:r>
      <w:r w:rsidR="00170290" w:rsidRPr="00B67A8B">
        <w:t>3.2 ± 0.04 g/L for the hydrolyzed wort before fermentation, 0.55 ± 0.05 g/L for the PC yeast, and 0.3 ± 0.04 g/L for the HA-18 yeast</w:t>
      </w:r>
      <w:r w:rsidR="007A4FDB">
        <w:t xml:space="preserve"> at the end of fermentation</w:t>
      </w:r>
      <w:r w:rsidR="00460778">
        <w:rPr>
          <w:lang w:val="en-GB"/>
        </w:rPr>
        <w:t xml:space="preserve">. </w:t>
      </w:r>
      <w:r w:rsidR="00817B68" w:rsidRPr="00817B68">
        <w:rPr>
          <w:lang w:val="en-GB"/>
        </w:rPr>
        <w:t xml:space="preserve">Total acidity was 0.075 ± 0.05 g/L for the </w:t>
      </w:r>
      <w:proofErr w:type="spellStart"/>
      <w:r w:rsidR="00817B68" w:rsidRPr="00817B68">
        <w:rPr>
          <w:lang w:val="en-GB"/>
        </w:rPr>
        <w:t>hydrolyzed</w:t>
      </w:r>
      <w:proofErr w:type="spellEnd"/>
      <w:r w:rsidR="00817B68" w:rsidRPr="00817B68">
        <w:rPr>
          <w:lang w:val="en-GB"/>
        </w:rPr>
        <w:t xml:space="preserve"> wort before fermentation, 0.9 ± 0.1 g/L for the P</w:t>
      </w:r>
      <w:r w:rsidR="00930A8E">
        <w:rPr>
          <w:lang w:val="en-GB"/>
        </w:rPr>
        <w:t>C</w:t>
      </w:r>
      <w:r w:rsidR="00817B68" w:rsidRPr="00817B68">
        <w:rPr>
          <w:lang w:val="en-GB"/>
        </w:rPr>
        <w:t xml:space="preserve"> yeast, and 2.2 ± 0.4 g/L for the </w:t>
      </w:r>
      <w:proofErr w:type="spellStart"/>
      <w:r w:rsidR="00817B68" w:rsidRPr="00817B68">
        <w:rPr>
          <w:lang w:val="en-GB"/>
        </w:rPr>
        <w:t>SafBrew</w:t>
      </w:r>
      <w:proofErr w:type="spellEnd"/>
      <w:r w:rsidR="00817B68" w:rsidRPr="00817B68">
        <w:rPr>
          <w:lang w:val="en-GB"/>
        </w:rPr>
        <w:t xml:space="preserve"> HA-18 yeast. </w:t>
      </w:r>
      <w:r w:rsidR="00930A8E">
        <w:rPr>
          <w:lang w:val="en-GB"/>
        </w:rPr>
        <w:t>V</w:t>
      </w:r>
      <w:r w:rsidR="00930A8E" w:rsidRPr="00930A8E">
        <w:rPr>
          <w:lang w:val="en-GB"/>
        </w:rPr>
        <w:t>olatile acidity was 0.66 ± 0.2 g/L for the PC yeast and 1.23 ± 0.4 g/L for the HA-18 yeast.</w:t>
      </w:r>
      <w:r w:rsidR="00F541AC">
        <w:rPr>
          <w:lang w:val="en-GB"/>
        </w:rPr>
        <w:t xml:space="preserve"> </w:t>
      </w:r>
      <w:r w:rsidR="00460778">
        <w:rPr>
          <w:lang w:val="en-GB"/>
        </w:rPr>
        <w:t xml:space="preserve">Ethanol </w:t>
      </w:r>
      <w:r w:rsidR="00194BEE">
        <w:rPr>
          <w:lang w:val="en-GB"/>
        </w:rPr>
        <w:t xml:space="preserve">content was </w:t>
      </w:r>
      <w:r w:rsidR="00F541AC" w:rsidRPr="00F541AC">
        <w:rPr>
          <w:lang w:val="en-GB"/>
        </w:rPr>
        <w:t>11% v/v for the PC yeast and 10% v/v for the HA-18 yeast, and the methanol content was 31.8 mg/L in the distillate obtained with both yeasts</w:t>
      </w:r>
      <w:r w:rsidR="0033429C">
        <w:rPr>
          <w:lang w:val="en-GB"/>
        </w:rPr>
        <w:t xml:space="preserve">. </w:t>
      </w:r>
      <w:r w:rsidRPr="005C1A5F">
        <w:rPr>
          <w:lang w:val="en-GB"/>
        </w:rPr>
        <w:t>Furthermore, it was confirmed that the electronic tongue is a useful, simple, and objective tool to distinguish between yam distillates processed in glass and in copper stills.</w:t>
      </w:r>
      <w:r w:rsidR="00D8384D">
        <w:rPr>
          <w:lang w:val="en-GB"/>
        </w:rPr>
        <w:t xml:space="preserve"> In the future it was possible to </w:t>
      </w:r>
      <w:r w:rsidR="007748E1">
        <w:rPr>
          <w:lang w:val="en-GB"/>
        </w:rPr>
        <w:t xml:space="preserve">produce an aromatized vodka with local </w:t>
      </w:r>
      <w:r w:rsidR="00BD1074">
        <w:rPr>
          <w:lang w:val="en-GB"/>
        </w:rPr>
        <w:t xml:space="preserve">herbs and make a sensory evaluation of the products. </w:t>
      </w:r>
    </w:p>
    <w:p w14:paraId="459D05E6" w14:textId="77777777" w:rsidR="00600535" w:rsidRPr="00B57B36" w:rsidRDefault="00600535" w:rsidP="00600535">
      <w:pPr>
        <w:pStyle w:val="CETAcknowledgementstitle"/>
      </w:pPr>
      <w:r w:rsidRPr="00B57B36">
        <w:t>Acknowledgments</w:t>
      </w:r>
    </w:p>
    <w:p w14:paraId="038E4864" w14:textId="1067DF5A" w:rsidR="005C1A5F" w:rsidRPr="005C1A5F" w:rsidRDefault="005C1A5F" w:rsidP="007100CF">
      <w:pPr>
        <w:pStyle w:val="CETBodytext"/>
        <w:rPr>
          <w:b/>
        </w:rPr>
      </w:pPr>
      <w:r w:rsidRPr="005C1A5F">
        <w:t xml:space="preserve">The authors thank the National Open and Distance University (UNAD) for funding this project (PG2602 ECBTI 2022), granted through Call No. 10 of 2021. They also extend their gratitude to the </w:t>
      </w:r>
      <w:proofErr w:type="spellStart"/>
      <w:r w:rsidRPr="005C1A5F">
        <w:t>Dipartimento</w:t>
      </w:r>
      <w:proofErr w:type="spellEnd"/>
      <w:r w:rsidRPr="005C1A5F">
        <w:t xml:space="preserve"> di </w:t>
      </w:r>
      <w:proofErr w:type="spellStart"/>
      <w:r w:rsidRPr="005C1A5F">
        <w:t>Scienze</w:t>
      </w:r>
      <w:proofErr w:type="spellEnd"/>
      <w:r w:rsidRPr="005C1A5F">
        <w:t xml:space="preserve"> per </w:t>
      </w:r>
      <w:proofErr w:type="spellStart"/>
      <w:r w:rsidRPr="005C1A5F">
        <w:t>gli</w:t>
      </w:r>
      <w:proofErr w:type="spellEnd"/>
      <w:r w:rsidRPr="005C1A5F">
        <w:t xml:space="preserve"> Alimenti, la </w:t>
      </w:r>
      <w:proofErr w:type="spellStart"/>
      <w:r w:rsidRPr="005C1A5F">
        <w:t>Nutrizione</w:t>
      </w:r>
      <w:proofErr w:type="spellEnd"/>
      <w:r w:rsidRPr="005C1A5F">
        <w:t xml:space="preserve"> e </w:t>
      </w:r>
      <w:proofErr w:type="spellStart"/>
      <w:r w:rsidRPr="005C1A5F">
        <w:t>l'Ambiente</w:t>
      </w:r>
      <w:proofErr w:type="spellEnd"/>
      <w:r w:rsidRPr="005C1A5F">
        <w:t xml:space="preserve"> at the Università </w:t>
      </w:r>
      <w:proofErr w:type="spellStart"/>
      <w:r w:rsidRPr="005C1A5F">
        <w:t>degli</w:t>
      </w:r>
      <w:proofErr w:type="spellEnd"/>
      <w:r w:rsidRPr="005C1A5F">
        <w:t xml:space="preserve"> Studi di Milano for their valuable collaboration in the analysis with the electronic tongue, and to the Chemical Engineering Program at the University of Cartagena for the technical support in the characterization of the beverages. They also thank the Vice-Rectorate for Research at the University of Cartagena for the support provided for the presentation of this work at the event, through the ITMIA Group Strengthening Plan 2023, Act 053 of 2023.</w:t>
      </w:r>
    </w:p>
    <w:p w14:paraId="4F1327F8" w14:textId="7635A881" w:rsidR="00600535" w:rsidRPr="00A230A8" w:rsidRDefault="00600535" w:rsidP="00A230A8">
      <w:pPr>
        <w:pStyle w:val="CETReference"/>
      </w:pPr>
      <w:r w:rsidRPr="00A230A8">
        <w:t>References</w:t>
      </w:r>
    </w:p>
    <w:p w14:paraId="4DA9CF32" w14:textId="4965F53F" w:rsidR="00671511" w:rsidRPr="00671511" w:rsidRDefault="005C1A5F" w:rsidP="00A230A8">
      <w:pPr>
        <w:pStyle w:val="CETReferencetext"/>
        <w:rPr>
          <w:noProof/>
        </w:rPr>
      </w:pPr>
      <w:r w:rsidRPr="005679CE">
        <w:rPr>
          <w:bCs/>
          <w:szCs w:val="18"/>
        </w:rPr>
        <w:fldChar w:fldCharType="begin" w:fldLock="1"/>
      </w:r>
      <w:r w:rsidRPr="005679CE">
        <w:rPr>
          <w:bCs/>
          <w:szCs w:val="18"/>
          <w:lang w:val="es-CO"/>
        </w:rPr>
        <w:instrText xml:space="preserve">ADDIN Mendeley Bibliography CSL_BIBLIOGRAPHY </w:instrText>
      </w:r>
      <w:r w:rsidRPr="005679CE">
        <w:rPr>
          <w:bCs/>
          <w:szCs w:val="18"/>
        </w:rPr>
        <w:fldChar w:fldCharType="separate"/>
      </w:r>
      <w:r w:rsidR="00671511" w:rsidRPr="00671511">
        <w:rPr>
          <w:noProof/>
          <w:lang w:val="es-419"/>
        </w:rPr>
        <w:t xml:space="preserve">Arroyo-López, F.N. et al. </w:t>
      </w:r>
      <w:r w:rsidR="00671511" w:rsidRPr="00671511">
        <w:rPr>
          <w:noProof/>
        </w:rPr>
        <w:t>(2009) Effects of temperature, pH and sugar concentration on the growth parameters of Saccharomyces cerevisiae, S. kudriavzevii and their interspecific hybrid., International journal of food microbiology. doi:10.1016/j.ijfoodmicro.2009.01.035.</w:t>
      </w:r>
    </w:p>
    <w:p w14:paraId="067E8B15" w14:textId="77777777" w:rsidR="00671511" w:rsidRPr="00671511" w:rsidRDefault="00671511" w:rsidP="00A230A8">
      <w:pPr>
        <w:pStyle w:val="CETReferencetext"/>
        <w:rPr>
          <w:noProof/>
        </w:rPr>
      </w:pPr>
      <w:r w:rsidRPr="00671511">
        <w:rPr>
          <w:noProof/>
        </w:rPr>
        <w:t>Espitia, J., Salcedo, J., &amp; Garcia, C. (2016) ‘Funtional Properties of Starch Yam (Dioscorea bulbífera,Dioscorea trífida y Dioscorea esculenta)’, Revista Técnica De La Facultad De Ingeniería. Universidad Del Zulia, 39(1). Available at: https://produccioncientificaluz.org/index.php/tecnica/article/view/21095.</w:t>
      </w:r>
    </w:p>
    <w:p w14:paraId="3FAA56E8" w14:textId="77777777" w:rsidR="00671511" w:rsidRPr="00671511" w:rsidRDefault="00671511" w:rsidP="00A230A8">
      <w:pPr>
        <w:pStyle w:val="CETReferencetext"/>
        <w:rPr>
          <w:noProof/>
        </w:rPr>
      </w:pPr>
      <w:r w:rsidRPr="00671511">
        <w:rPr>
          <w:noProof/>
        </w:rPr>
        <w:t>Garcia, L., Rodriguez, M., &amp; Perez, A. (2019) ‘Advances in starch hydrolysis for bioethanol production’, JOURNAL OF FOOD ENGINEERING, 245, pp. 112–125.</w:t>
      </w:r>
    </w:p>
    <w:p w14:paraId="04D4D78E" w14:textId="77777777" w:rsidR="00671511" w:rsidRPr="00671511" w:rsidRDefault="00671511" w:rsidP="00A230A8">
      <w:pPr>
        <w:pStyle w:val="CETReferencetext"/>
        <w:rPr>
          <w:noProof/>
        </w:rPr>
      </w:pPr>
      <w:r w:rsidRPr="00671511">
        <w:rPr>
          <w:noProof/>
        </w:rPr>
        <w:t>Icontec (1997) ‘Norma Tecnica Colombiana NTC 4118:1997. Bebidas alcoholicas. Determinacion de metanol y de congeneres en bebidas alcoholicas y en alcohol etilico empleado en su elaboracion, mediante cromatrografia de gases.’ Available at: https://tienda.icontec.org/gp-bebidas-alcoholicas-determinacion-de-metanol-y-de-congeneres-en-bebidas-alcoholicas-y-en-alcohol-etilico-empleado-en-su-elaboracion-mediante-cromatrografia-de-gases-ntc4118-1997.html.</w:t>
      </w:r>
    </w:p>
    <w:p w14:paraId="745E0AD2" w14:textId="77777777" w:rsidR="00671511" w:rsidRPr="00671511" w:rsidRDefault="00671511" w:rsidP="00A230A8">
      <w:pPr>
        <w:pStyle w:val="CETReferencetext"/>
        <w:rPr>
          <w:noProof/>
        </w:rPr>
      </w:pPr>
      <w:r w:rsidRPr="00671511">
        <w:rPr>
          <w:noProof/>
        </w:rPr>
        <w:t>Icontec (1999) ‘Norma Tecnica Colombiana NTC 305:1999’.</w:t>
      </w:r>
    </w:p>
    <w:p w14:paraId="56D208E2" w14:textId="77777777" w:rsidR="00671511" w:rsidRPr="00671511" w:rsidRDefault="00671511" w:rsidP="00A230A8">
      <w:pPr>
        <w:pStyle w:val="CETReferencetext"/>
        <w:rPr>
          <w:noProof/>
        </w:rPr>
      </w:pPr>
      <w:r w:rsidRPr="00671511">
        <w:rPr>
          <w:noProof/>
        </w:rPr>
        <w:t>Icontec (2004) ‘Norma Tecnica Colombiana NTC 1588:2004. Bebidas alcoholicas. Vinos espumosos.’ Available at: https://tienda.icontec.org/gp-bebidas-alcoholicas-vinos-espumosos-ntc1588-2004.html.</w:t>
      </w:r>
    </w:p>
    <w:p w14:paraId="52ABA3D6" w14:textId="77777777" w:rsidR="00671511" w:rsidRPr="00671511" w:rsidRDefault="00671511" w:rsidP="00A230A8">
      <w:pPr>
        <w:pStyle w:val="CETReferencetext"/>
        <w:rPr>
          <w:noProof/>
        </w:rPr>
      </w:pPr>
      <w:r w:rsidRPr="00671511">
        <w:rPr>
          <w:noProof/>
        </w:rPr>
        <w:t>Jones, R. (2018) ‘Starch-based fermentation: A review of current practices’, Biotechnology Letters, 40(6), pp. 887–900.</w:t>
      </w:r>
    </w:p>
    <w:p w14:paraId="1DB92B80" w14:textId="77777777" w:rsidR="00671511" w:rsidRPr="00671511" w:rsidRDefault="00671511" w:rsidP="00A230A8">
      <w:pPr>
        <w:pStyle w:val="CETReferencetext"/>
        <w:rPr>
          <w:noProof/>
        </w:rPr>
      </w:pPr>
      <w:r w:rsidRPr="00671511">
        <w:rPr>
          <w:noProof/>
        </w:rPr>
        <w:t>Liu, J. et al. (2020) ‘Fuzzy evaluation output of taste information for liquor using electronic tongue based on cloud model’, Sensors (Switzerland), 20(3). doi:10.3390/s20030686.</w:t>
      </w:r>
    </w:p>
    <w:p w14:paraId="63C69069" w14:textId="77777777" w:rsidR="00671511" w:rsidRPr="00671511" w:rsidRDefault="00671511" w:rsidP="00A230A8">
      <w:pPr>
        <w:pStyle w:val="CETReferencetext"/>
        <w:rPr>
          <w:noProof/>
        </w:rPr>
      </w:pPr>
      <w:r w:rsidRPr="00671511">
        <w:rPr>
          <w:noProof/>
        </w:rPr>
        <w:t>M. Laureati, S. Buratti, A. Bassoli, G. Borgonovo, E.P. (2010) ‘Discrimination and characterisation of three cultivars of Perilla frutescens by means of sensory descriptors and electronic nose and tongue analysis’, Food Research International, 43(4), pp. 959–964.</w:t>
      </w:r>
    </w:p>
    <w:p w14:paraId="539EEDDA" w14:textId="77777777" w:rsidR="00671511" w:rsidRPr="00671511" w:rsidRDefault="00671511" w:rsidP="00A230A8">
      <w:pPr>
        <w:pStyle w:val="CETReferencetext"/>
        <w:rPr>
          <w:noProof/>
        </w:rPr>
      </w:pPr>
      <w:r w:rsidRPr="00671511">
        <w:rPr>
          <w:noProof/>
        </w:rPr>
        <w:t>Mason, M. et al. (2023) ‘Obtaining a Vodka-like Distillate from a Native Colombian Yam (Dioscorea spp.)’, Chemical Engineering Transactions, 102(June), pp. 229–234. doi:10.3303/CET23102039.</w:t>
      </w:r>
    </w:p>
    <w:p w14:paraId="131798A4" w14:textId="77777777" w:rsidR="00671511" w:rsidRPr="00671511" w:rsidRDefault="00671511" w:rsidP="00A230A8">
      <w:pPr>
        <w:pStyle w:val="CETReferencetext"/>
        <w:rPr>
          <w:noProof/>
        </w:rPr>
      </w:pPr>
      <w:r w:rsidRPr="00671511">
        <w:rPr>
          <w:noProof/>
        </w:rPr>
        <w:t>Morales Bedoya, E. (2010) ‘Fogón Caribe : la historia de la gastronomía del Caribe colombiano’, p. 337.</w:t>
      </w:r>
    </w:p>
    <w:p w14:paraId="0B479A42" w14:textId="77777777" w:rsidR="00671511" w:rsidRPr="00671511" w:rsidRDefault="00671511" w:rsidP="00A230A8">
      <w:pPr>
        <w:pStyle w:val="CETReferencetext"/>
        <w:rPr>
          <w:noProof/>
        </w:rPr>
      </w:pPr>
      <w:r w:rsidRPr="00671511">
        <w:rPr>
          <w:noProof/>
        </w:rPr>
        <w:t>Smith, K., &amp; Brown, J. (2020) ‘The potential of cassava as a substrate for alcoholic beverage production’, Food chemistry, 310.</w:t>
      </w:r>
    </w:p>
    <w:p w14:paraId="4C6BA82D" w14:textId="1A080709" w:rsidR="005C1A5F" w:rsidRPr="008167F0" w:rsidRDefault="00671511" w:rsidP="00054810">
      <w:pPr>
        <w:pStyle w:val="CETReferencetext"/>
        <w:rPr>
          <w:bCs/>
          <w:szCs w:val="18"/>
        </w:rPr>
      </w:pPr>
      <w:r w:rsidRPr="00671511">
        <w:rPr>
          <w:noProof/>
        </w:rPr>
        <w:t>Walker, G.M. and Stewart, G.G. (2016) ‘Saccharomyces cerevisiae in the production of fermented beverages’, Beverages, 2(4), pp. 1–12. doi:10.3390/beverages2040030.</w:t>
      </w:r>
      <w:r w:rsidR="005C1A5F" w:rsidRPr="005679CE">
        <w:rPr>
          <w:bCs/>
          <w:szCs w:val="18"/>
        </w:rPr>
        <w:fldChar w:fldCharType="end"/>
      </w:r>
    </w:p>
    <w:sectPr w:rsidR="005C1A5F" w:rsidRPr="008167F0"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C49F4" w14:textId="77777777" w:rsidR="00F755A4" w:rsidRDefault="00F755A4" w:rsidP="004F5E36">
      <w:r>
        <w:separator/>
      </w:r>
    </w:p>
  </w:endnote>
  <w:endnote w:type="continuationSeparator" w:id="0">
    <w:p w14:paraId="481FA058" w14:textId="77777777" w:rsidR="00F755A4" w:rsidRDefault="00F755A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58D52" w14:textId="77777777" w:rsidR="00F755A4" w:rsidRDefault="00F755A4" w:rsidP="004F5E36">
      <w:r>
        <w:separator/>
      </w:r>
    </w:p>
  </w:footnote>
  <w:footnote w:type="continuationSeparator" w:id="0">
    <w:p w14:paraId="7DEBCE10" w14:textId="77777777" w:rsidR="00F755A4" w:rsidRDefault="00F755A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352042">
    <w:abstractNumId w:val="11"/>
  </w:num>
  <w:num w:numId="2" w16cid:durableId="83307957">
    <w:abstractNumId w:val="8"/>
  </w:num>
  <w:num w:numId="3" w16cid:durableId="2135754154">
    <w:abstractNumId w:val="3"/>
  </w:num>
  <w:num w:numId="4" w16cid:durableId="1991715766">
    <w:abstractNumId w:val="2"/>
  </w:num>
  <w:num w:numId="5" w16cid:durableId="1384139500">
    <w:abstractNumId w:val="1"/>
  </w:num>
  <w:num w:numId="6" w16cid:durableId="418259796">
    <w:abstractNumId w:val="0"/>
  </w:num>
  <w:num w:numId="7" w16cid:durableId="1536115308">
    <w:abstractNumId w:val="9"/>
  </w:num>
  <w:num w:numId="8" w16cid:durableId="1272127454">
    <w:abstractNumId w:val="7"/>
  </w:num>
  <w:num w:numId="9" w16cid:durableId="375354687">
    <w:abstractNumId w:val="6"/>
  </w:num>
  <w:num w:numId="10" w16cid:durableId="1728915719">
    <w:abstractNumId w:val="5"/>
  </w:num>
  <w:num w:numId="11" w16cid:durableId="2131823378">
    <w:abstractNumId w:val="4"/>
  </w:num>
  <w:num w:numId="12" w16cid:durableId="1416053031">
    <w:abstractNumId w:val="18"/>
  </w:num>
  <w:num w:numId="13" w16cid:durableId="282929772">
    <w:abstractNumId w:val="13"/>
  </w:num>
  <w:num w:numId="14" w16cid:durableId="2116556400">
    <w:abstractNumId w:val="19"/>
  </w:num>
  <w:num w:numId="15" w16cid:durableId="992685865">
    <w:abstractNumId w:val="21"/>
  </w:num>
  <w:num w:numId="16" w16cid:durableId="1907497583">
    <w:abstractNumId w:val="20"/>
  </w:num>
  <w:num w:numId="17" w16cid:durableId="1549801537">
    <w:abstractNumId w:val="12"/>
  </w:num>
  <w:num w:numId="18" w16cid:durableId="1566185386">
    <w:abstractNumId w:val="13"/>
    <w:lvlOverride w:ilvl="0">
      <w:startOverride w:val="1"/>
    </w:lvlOverride>
  </w:num>
  <w:num w:numId="19" w16cid:durableId="1217470335">
    <w:abstractNumId w:val="17"/>
  </w:num>
  <w:num w:numId="20" w16cid:durableId="1254901673">
    <w:abstractNumId w:val="16"/>
  </w:num>
  <w:num w:numId="21" w16cid:durableId="789520771">
    <w:abstractNumId w:val="15"/>
  </w:num>
  <w:num w:numId="22" w16cid:durableId="931739881">
    <w:abstractNumId w:val="14"/>
  </w:num>
  <w:num w:numId="23" w16cid:durableId="705638355">
    <w:abstractNumId w:val="10"/>
  </w:num>
  <w:num w:numId="24" w16cid:durableId="1673098371">
    <w:abstractNumId w:val="11"/>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5161"/>
    <w:rsid w:val="0003148D"/>
    <w:rsid w:val="00031EEC"/>
    <w:rsid w:val="00033AAE"/>
    <w:rsid w:val="00051566"/>
    <w:rsid w:val="00054810"/>
    <w:rsid w:val="000562A9"/>
    <w:rsid w:val="00062A9A"/>
    <w:rsid w:val="00065058"/>
    <w:rsid w:val="000675F8"/>
    <w:rsid w:val="00086C39"/>
    <w:rsid w:val="00095ED8"/>
    <w:rsid w:val="000A03B2"/>
    <w:rsid w:val="000A4F1F"/>
    <w:rsid w:val="000B4D31"/>
    <w:rsid w:val="000C3E92"/>
    <w:rsid w:val="000C5A17"/>
    <w:rsid w:val="000D0268"/>
    <w:rsid w:val="000D34BE"/>
    <w:rsid w:val="000E0B3C"/>
    <w:rsid w:val="000E102F"/>
    <w:rsid w:val="000E36F1"/>
    <w:rsid w:val="000E3A73"/>
    <w:rsid w:val="000E414A"/>
    <w:rsid w:val="000E75FD"/>
    <w:rsid w:val="000F093C"/>
    <w:rsid w:val="000F12B3"/>
    <w:rsid w:val="000F787B"/>
    <w:rsid w:val="00105FAD"/>
    <w:rsid w:val="00106842"/>
    <w:rsid w:val="00113064"/>
    <w:rsid w:val="0012091F"/>
    <w:rsid w:val="0012133D"/>
    <w:rsid w:val="00126BC2"/>
    <w:rsid w:val="001308B6"/>
    <w:rsid w:val="001311D8"/>
    <w:rsid w:val="0013121F"/>
    <w:rsid w:val="00131FE6"/>
    <w:rsid w:val="0013263F"/>
    <w:rsid w:val="001331DF"/>
    <w:rsid w:val="00134DE4"/>
    <w:rsid w:val="0014034D"/>
    <w:rsid w:val="00140FE3"/>
    <w:rsid w:val="00144D16"/>
    <w:rsid w:val="00146BD2"/>
    <w:rsid w:val="00150E59"/>
    <w:rsid w:val="00152DE3"/>
    <w:rsid w:val="00164CF9"/>
    <w:rsid w:val="0016668E"/>
    <w:rsid w:val="001667A6"/>
    <w:rsid w:val="00170290"/>
    <w:rsid w:val="001808B8"/>
    <w:rsid w:val="0018171E"/>
    <w:rsid w:val="00184AD6"/>
    <w:rsid w:val="00194BEE"/>
    <w:rsid w:val="001A4AF7"/>
    <w:rsid w:val="001A6F92"/>
    <w:rsid w:val="001B0349"/>
    <w:rsid w:val="001B1E93"/>
    <w:rsid w:val="001B65C1"/>
    <w:rsid w:val="001C260F"/>
    <w:rsid w:val="001C4FDC"/>
    <w:rsid w:val="001C5098"/>
    <w:rsid w:val="001C5C3A"/>
    <w:rsid w:val="001C684B"/>
    <w:rsid w:val="001D0CFB"/>
    <w:rsid w:val="001D21AF"/>
    <w:rsid w:val="001D3D32"/>
    <w:rsid w:val="001D53FC"/>
    <w:rsid w:val="001F2380"/>
    <w:rsid w:val="001F334F"/>
    <w:rsid w:val="001F42A5"/>
    <w:rsid w:val="001F7B9D"/>
    <w:rsid w:val="00201C93"/>
    <w:rsid w:val="00220409"/>
    <w:rsid w:val="002224B4"/>
    <w:rsid w:val="00227054"/>
    <w:rsid w:val="002447EF"/>
    <w:rsid w:val="00251550"/>
    <w:rsid w:val="00251AC3"/>
    <w:rsid w:val="00263B05"/>
    <w:rsid w:val="0027221A"/>
    <w:rsid w:val="00275B61"/>
    <w:rsid w:val="00280FAF"/>
    <w:rsid w:val="00280FD2"/>
    <w:rsid w:val="00282656"/>
    <w:rsid w:val="0028710A"/>
    <w:rsid w:val="00296B83"/>
    <w:rsid w:val="002B4015"/>
    <w:rsid w:val="002B78CE"/>
    <w:rsid w:val="002C2FB6"/>
    <w:rsid w:val="002C7508"/>
    <w:rsid w:val="002E23F3"/>
    <w:rsid w:val="002E5FA7"/>
    <w:rsid w:val="002F3309"/>
    <w:rsid w:val="002F56FD"/>
    <w:rsid w:val="002F5F79"/>
    <w:rsid w:val="003008CE"/>
    <w:rsid w:val="003009B7"/>
    <w:rsid w:val="00300E56"/>
    <w:rsid w:val="0030152C"/>
    <w:rsid w:val="0030469C"/>
    <w:rsid w:val="00304CE8"/>
    <w:rsid w:val="00321CA6"/>
    <w:rsid w:val="00323763"/>
    <w:rsid w:val="00323C5F"/>
    <w:rsid w:val="0033429C"/>
    <w:rsid w:val="00334C09"/>
    <w:rsid w:val="003723D4"/>
    <w:rsid w:val="00381905"/>
    <w:rsid w:val="00384CC8"/>
    <w:rsid w:val="003871FD"/>
    <w:rsid w:val="003A1E30"/>
    <w:rsid w:val="003A2829"/>
    <w:rsid w:val="003A2BA8"/>
    <w:rsid w:val="003A7D1C"/>
    <w:rsid w:val="003B304B"/>
    <w:rsid w:val="003B3146"/>
    <w:rsid w:val="003B49CD"/>
    <w:rsid w:val="003D1E02"/>
    <w:rsid w:val="003D494D"/>
    <w:rsid w:val="003E3C9B"/>
    <w:rsid w:val="003E6A8E"/>
    <w:rsid w:val="003F015E"/>
    <w:rsid w:val="00400414"/>
    <w:rsid w:val="0040304D"/>
    <w:rsid w:val="00404A99"/>
    <w:rsid w:val="0040755C"/>
    <w:rsid w:val="00412F91"/>
    <w:rsid w:val="00413CB1"/>
    <w:rsid w:val="0041446B"/>
    <w:rsid w:val="00427051"/>
    <w:rsid w:val="0044071E"/>
    <w:rsid w:val="0044329C"/>
    <w:rsid w:val="004444A6"/>
    <w:rsid w:val="00453E24"/>
    <w:rsid w:val="00457456"/>
    <w:rsid w:val="004577FE"/>
    <w:rsid w:val="00457B9C"/>
    <w:rsid w:val="00460778"/>
    <w:rsid w:val="0046164A"/>
    <w:rsid w:val="0046241F"/>
    <w:rsid w:val="004628D2"/>
    <w:rsid w:val="00462DCD"/>
    <w:rsid w:val="004648AD"/>
    <w:rsid w:val="004703A9"/>
    <w:rsid w:val="004760DE"/>
    <w:rsid w:val="004763D7"/>
    <w:rsid w:val="0048028A"/>
    <w:rsid w:val="00482C05"/>
    <w:rsid w:val="004A004E"/>
    <w:rsid w:val="004A24CF"/>
    <w:rsid w:val="004C3D1D"/>
    <w:rsid w:val="004C3D84"/>
    <w:rsid w:val="004C7913"/>
    <w:rsid w:val="004D2F0C"/>
    <w:rsid w:val="004E4DD6"/>
    <w:rsid w:val="004F5E36"/>
    <w:rsid w:val="00507B47"/>
    <w:rsid w:val="00507BEF"/>
    <w:rsid w:val="00507CC9"/>
    <w:rsid w:val="005119A5"/>
    <w:rsid w:val="005278B7"/>
    <w:rsid w:val="00532016"/>
    <w:rsid w:val="005346C8"/>
    <w:rsid w:val="00542623"/>
    <w:rsid w:val="00543E7D"/>
    <w:rsid w:val="00547A68"/>
    <w:rsid w:val="005531C9"/>
    <w:rsid w:val="00554879"/>
    <w:rsid w:val="005669B7"/>
    <w:rsid w:val="005679CE"/>
    <w:rsid w:val="00570C43"/>
    <w:rsid w:val="005812C1"/>
    <w:rsid w:val="00592274"/>
    <w:rsid w:val="00596108"/>
    <w:rsid w:val="005B0A21"/>
    <w:rsid w:val="005B2110"/>
    <w:rsid w:val="005B350B"/>
    <w:rsid w:val="005B61E6"/>
    <w:rsid w:val="005C0F91"/>
    <w:rsid w:val="005C1A5F"/>
    <w:rsid w:val="005C77E1"/>
    <w:rsid w:val="005D668A"/>
    <w:rsid w:val="005D6A2F"/>
    <w:rsid w:val="005E0592"/>
    <w:rsid w:val="005E1A82"/>
    <w:rsid w:val="005E794C"/>
    <w:rsid w:val="005F0A28"/>
    <w:rsid w:val="005F0E16"/>
    <w:rsid w:val="005F0E5E"/>
    <w:rsid w:val="00600535"/>
    <w:rsid w:val="00610CD6"/>
    <w:rsid w:val="00620DEE"/>
    <w:rsid w:val="00621F92"/>
    <w:rsid w:val="0062280A"/>
    <w:rsid w:val="006231E1"/>
    <w:rsid w:val="00625639"/>
    <w:rsid w:val="00626342"/>
    <w:rsid w:val="00627CC6"/>
    <w:rsid w:val="00631B33"/>
    <w:rsid w:val="0064184D"/>
    <w:rsid w:val="006422CC"/>
    <w:rsid w:val="00651D18"/>
    <w:rsid w:val="00656FFB"/>
    <w:rsid w:val="00660E3E"/>
    <w:rsid w:val="00662E74"/>
    <w:rsid w:val="00671511"/>
    <w:rsid w:val="00680C23"/>
    <w:rsid w:val="00683E23"/>
    <w:rsid w:val="00693766"/>
    <w:rsid w:val="006A3281"/>
    <w:rsid w:val="006A6DE5"/>
    <w:rsid w:val="006B1C5E"/>
    <w:rsid w:val="006B4888"/>
    <w:rsid w:val="006B63A4"/>
    <w:rsid w:val="006C2E45"/>
    <w:rsid w:val="006C359C"/>
    <w:rsid w:val="006C5579"/>
    <w:rsid w:val="006D6E8B"/>
    <w:rsid w:val="006D7209"/>
    <w:rsid w:val="006E737D"/>
    <w:rsid w:val="00702FEF"/>
    <w:rsid w:val="00704DFC"/>
    <w:rsid w:val="00707758"/>
    <w:rsid w:val="00707DD1"/>
    <w:rsid w:val="007100CF"/>
    <w:rsid w:val="00711DAE"/>
    <w:rsid w:val="007121C5"/>
    <w:rsid w:val="00713973"/>
    <w:rsid w:val="00720A24"/>
    <w:rsid w:val="0073204E"/>
    <w:rsid w:val="00732386"/>
    <w:rsid w:val="0073514D"/>
    <w:rsid w:val="007447F3"/>
    <w:rsid w:val="00747C05"/>
    <w:rsid w:val="00751AD9"/>
    <w:rsid w:val="0075499F"/>
    <w:rsid w:val="007661C8"/>
    <w:rsid w:val="0077098D"/>
    <w:rsid w:val="007736A3"/>
    <w:rsid w:val="007748E1"/>
    <w:rsid w:val="00785BF9"/>
    <w:rsid w:val="007931FA"/>
    <w:rsid w:val="007A4861"/>
    <w:rsid w:val="007A4FDB"/>
    <w:rsid w:val="007A7BBA"/>
    <w:rsid w:val="007B0C50"/>
    <w:rsid w:val="007B48F9"/>
    <w:rsid w:val="007C1A43"/>
    <w:rsid w:val="007C563C"/>
    <w:rsid w:val="007D0951"/>
    <w:rsid w:val="007D4026"/>
    <w:rsid w:val="007D610D"/>
    <w:rsid w:val="0080013E"/>
    <w:rsid w:val="00801759"/>
    <w:rsid w:val="00813288"/>
    <w:rsid w:val="008167F0"/>
    <w:rsid w:val="008168FC"/>
    <w:rsid w:val="00817B68"/>
    <w:rsid w:val="0082216E"/>
    <w:rsid w:val="00830996"/>
    <w:rsid w:val="008345F1"/>
    <w:rsid w:val="00835A95"/>
    <w:rsid w:val="00865B07"/>
    <w:rsid w:val="008667EA"/>
    <w:rsid w:val="0087637F"/>
    <w:rsid w:val="00877D84"/>
    <w:rsid w:val="00887FEB"/>
    <w:rsid w:val="00892AD5"/>
    <w:rsid w:val="008A1512"/>
    <w:rsid w:val="008A470A"/>
    <w:rsid w:val="008A6BA1"/>
    <w:rsid w:val="008D32B9"/>
    <w:rsid w:val="008D433B"/>
    <w:rsid w:val="008D4A16"/>
    <w:rsid w:val="008D60A4"/>
    <w:rsid w:val="008E5401"/>
    <w:rsid w:val="008E5604"/>
    <w:rsid w:val="008E566E"/>
    <w:rsid w:val="0090161A"/>
    <w:rsid w:val="00901EB6"/>
    <w:rsid w:val="009041F8"/>
    <w:rsid w:val="00904BBD"/>
    <w:rsid w:val="00904C62"/>
    <w:rsid w:val="0091436E"/>
    <w:rsid w:val="00921143"/>
    <w:rsid w:val="00922BA8"/>
    <w:rsid w:val="00924DAC"/>
    <w:rsid w:val="00925842"/>
    <w:rsid w:val="00927058"/>
    <w:rsid w:val="00930A8E"/>
    <w:rsid w:val="00942750"/>
    <w:rsid w:val="009439B7"/>
    <w:rsid w:val="0094410B"/>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A2228"/>
    <w:rsid w:val="009B041A"/>
    <w:rsid w:val="009B6E57"/>
    <w:rsid w:val="009C37C3"/>
    <w:rsid w:val="009C7C86"/>
    <w:rsid w:val="009D2FF7"/>
    <w:rsid w:val="009D6FF0"/>
    <w:rsid w:val="009E7884"/>
    <w:rsid w:val="009E788A"/>
    <w:rsid w:val="009F0E08"/>
    <w:rsid w:val="00A079AE"/>
    <w:rsid w:val="00A11403"/>
    <w:rsid w:val="00A1461C"/>
    <w:rsid w:val="00A1763D"/>
    <w:rsid w:val="00A17CEC"/>
    <w:rsid w:val="00A209E8"/>
    <w:rsid w:val="00A230A8"/>
    <w:rsid w:val="00A27EF0"/>
    <w:rsid w:val="00A42361"/>
    <w:rsid w:val="00A50B20"/>
    <w:rsid w:val="00A51390"/>
    <w:rsid w:val="00A5658A"/>
    <w:rsid w:val="00A60D13"/>
    <w:rsid w:val="00A7223D"/>
    <w:rsid w:val="00A72745"/>
    <w:rsid w:val="00A76EFC"/>
    <w:rsid w:val="00A87CB1"/>
    <w:rsid w:val="00A87D50"/>
    <w:rsid w:val="00A91010"/>
    <w:rsid w:val="00A97F29"/>
    <w:rsid w:val="00AA702E"/>
    <w:rsid w:val="00AA7D26"/>
    <w:rsid w:val="00AB0964"/>
    <w:rsid w:val="00AB1BED"/>
    <w:rsid w:val="00AB5011"/>
    <w:rsid w:val="00AB54A2"/>
    <w:rsid w:val="00AC7368"/>
    <w:rsid w:val="00AD16B9"/>
    <w:rsid w:val="00AD339C"/>
    <w:rsid w:val="00AE1F88"/>
    <w:rsid w:val="00AE377D"/>
    <w:rsid w:val="00AF0EBA"/>
    <w:rsid w:val="00AF2463"/>
    <w:rsid w:val="00AF7308"/>
    <w:rsid w:val="00B02C8A"/>
    <w:rsid w:val="00B06091"/>
    <w:rsid w:val="00B17FBD"/>
    <w:rsid w:val="00B315A6"/>
    <w:rsid w:val="00B31813"/>
    <w:rsid w:val="00B33365"/>
    <w:rsid w:val="00B57B36"/>
    <w:rsid w:val="00B57E6F"/>
    <w:rsid w:val="00B67A8B"/>
    <w:rsid w:val="00B73095"/>
    <w:rsid w:val="00B8686D"/>
    <w:rsid w:val="00B93F69"/>
    <w:rsid w:val="00BA37C0"/>
    <w:rsid w:val="00BB0B21"/>
    <w:rsid w:val="00BB1744"/>
    <w:rsid w:val="00BB1DDC"/>
    <w:rsid w:val="00BC30C9"/>
    <w:rsid w:val="00BD077D"/>
    <w:rsid w:val="00BD1074"/>
    <w:rsid w:val="00BD118B"/>
    <w:rsid w:val="00BE3E58"/>
    <w:rsid w:val="00BE707B"/>
    <w:rsid w:val="00BF13CE"/>
    <w:rsid w:val="00C01616"/>
    <w:rsid w:val="00C0162B"/>
    <w:rsid w:val="00C047A8"/>
    <w:rsid w:val="00C068ED"/>
    <w:rsid w:val="00C1565F"/>
    <w:rsid w:val="00C22E0C"/>
    <w:rsid w:val="00C31F63"/>
    <w:rsid w:val="00C345B1"/>
    <w:rsid w:val="00C36E38"/>
    <w:rsid w:val="00C40142"/>
    <w:rsid w:val="00C52C3C"/>
    <w:rsid w:val="00C57182"/>
    <w:rsid w:val="00C57863"/>
    <w:rsid w:val="00C640AF"/>
    <w:rsid w:val="00C655FD"/>
    <w:rsid w:val="00C73157"/>
    <w:rsid w:val="00C75407"/>
    <w:rsid w:val="00C841C6"/>
    <w:rsid w:val="00C870A8"/>
    <w:rsid w:val="00C94434"/>
    <w:rsid w:val="00CA0D75"/>
    <w:rsid w:val="00CA1C95"/>
    <w:rsid w:val="00CA5A9C"/>
    <w:rsid w:val="00CC4B5F"/>
    <w:rsid w:val="00CC4C20"/>
    <w:rsid w:val="00CD3517"/>
    <w:rsid w:val="00CD5FE2"/>
    <w:rsid w:val="00CD7097"/>
    <w:rsid w:val="00CE7C68"/>
    <w:rsid w:val="00D02B4C"/>
    <w:rsid w:val="00D040C4"/>
    <w:rsid w:val="00D126FA"/>
    <w:rsid w:val="00D1351D"/>
    <w:rsid w:val="00D20AD1"/>
    <w:rsid w:val="00D2582C"/>
    <w:rsid w:val="00D46B7E"/>
    <w:rsid w:val="00D57C84"/>
    <w:rsid w:val="00D6057D"/>
    <w:rsid w:val="00D71640"/>
    <w:rsid w:val="00D72CF3"/>
    <w:rsid w:val="00D81EDB"/>
    <w:rsid w:val="00D836C5"/>
    <w:rsid w:val="00D8384D"/>
    <w:rsid w:val="00D84576"/>
    <w:rsid w:val="00DA1399"/>
    <w:rsid w:val="00DA24C6"/>
    <w:rsid w:val="00DA4D7B"/>
    <w:rsid w:val="00DC0F3A"/>
    <w:rsid w:val="00DC2840"/>
    <w:rsid w:val="00DC5845"/>
    <w:rsid w:val="00DC73EE"/>
    <w:rsid w:val="00DD271C"/>
    <w:rsid w:val="00DD2F46"/>
    <w:rsid w:val="00DE264A"/>
    <w:rsid w:val="00DE5416"/>
    <w:rsid w:val="00DE77FC"/>
    <w:rsid w:val="00DF5072"/>
    <w:rsid w:val="00E00770"/>
    <w:rsid w:val="00E01D21"/>
    <w:rsid w:val="00E02D18"/>
    <w:rsid w:val="00E03719"/>
    <w:rsid w:val="00E041E7"/>
    <w:rsid w:val="00E131FB"/>
    <w:rsid w:val="00E139A8"/>
    <w:rsid w:val="00E23CA1"/>
    <w:rsid w:val="00E31E0E"/>
    <w:rsid w:val="00E32C55"/>
    <w:rsid w:val="00E409A8"/>
    <w:rsid w:val="00E50C12"/>
    <w:rsid w:val="00E65688"/>
    <w:rsid w:val="00E65B91"/>
    <w:rsid w:val="00E7209D"/>
    <w:rsid w:val="00E72EAD"/>
    <w:rsid w:val="00E77223"/>
    <w:rsid w:val="00E77982"/>
    <w:rsid w:val="00E8528B"/>
    <w:rsid w:val="00E85B94"/>
    <w:rsid w:val="00E978D0"/>
    <w:rsid w:val="00EA1A50"/>
    <w:rsid w:val="00EA4613"/>
    <w:rsid w:val="00EA7F91"/>
    <w:rsid w:val="00EB1523"/>
    <w:rsid w:val="00EB3C7D"/>
    <w:rsid w:val="00EC0E49"/>
    <w:rsid w:val="00EC101F"/>
    <w:rsid w:val="00EC1D9F"/>
    <w:rsid w:val="00EC68FA"/>
    <w:rsid w:val="00EC6A14"/>
    <w:rsid w:val="00EE0131"/>
    <w:rsid w:val="00EE17B0"/>
    <w:rsid w:val="00EF06D9"/>
    <w:rsid w:val="00F0283F"/>
    <w:rsid w:val="00F13A86"/>
    <w:rsid w:val="00F21C3E"/>
    <w:rsid w:val="00F3049E"/>
    <w:rsid w:val="00F30C64"/>
    <w:rsid w:val="00F32BA2"/>
    <w:rsid w:val="00F32CDB"/>
    <w:rsid w:val="00F40F57"/>
    <w:rsid w:val="00F41EE4"/>
    <w:rsid w:val="00F541AC"/>
    <w:rsid w:val="00F5437C"/>
    <w:rsid w:val="00F565FE"/>
    <w:rsid w:val="00F63A70"/>
    <w:rsid w:val="00F63D8C"/>
    <w:rsid w:val="00F7534E"/>
    <w:rsid w:val="00F755A4"/>
    <w:rsid w:val="00F87933"/>
    <w:rsid w:val="00F93EDF"/>
    <w:rsid w:val="00FA1802"/>
    <w:rsid w:val="00FA21D0"/>
    <w:rsid w:val="00FA5F5F"/>
    <w:rsid w:val="00FB2733"/>
    <w:rsid w:val="00FB4F49"/>
    <w:rsid w:val="00FB730C"/>
    <w:rsid w:val="00FC1708"/>
    <w:rsid w:val="00FC2695"/>
    <w:rsid w:val="00FC3E03"/>
    <w:rsid w:val="00FC3FC1"/>
    <w:rsid w:val="00FE2EE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047A8"/>
    <w:pPr>
      <w:keepNext/>
      <w:suppressAutoHyphens/>
      <w:spacing w:before="120" w:after="12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047A8"/>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character" w:styleId="Rimandonotaapidipagina">
    <w:name w:val="footnote reference"/>
    <w:basedOn w:val="Carpredefinitoparagrafo"/>
    <w:uiPriority w:val="99"/>
    <w:semiHidden/>
    <w:unhideWhenUsed/>
    <w:rsid w:val="00220409"/>
    <w:rPr>
      <w:vertAlign w:val="superscript"/>
    </w:rPr>
  </w:style>
  <w:style w:type="character" w:customStyle="1" w:styleId="html-italic">
    <w:name w:val="html-italic"/>
    <w:basedOn w:val="Carpredefinitoparagrafo"/>
    <w:rsid w:val="00921143"/>
  </w:style>
  <w:style w:type="paragraph" w:styleId="Revisione">
    <w:name w:val="Revision"/>
    <w:hidden/>
    <w:uiPriority w:val="99"/>
    <w:semiHidden/>
    <w:rsid w:val="00711DAE"/>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64653">
      <w:bodyDiv w:val="1"/>
      <w:marLeft w:val="0"/>
      <w:marRight w:val="0"/>
      <w:marTop w:val="0"/>
      <w:marBottom w:val="0"/>
      <w:divBdr>
        <w:top w:val="none" w:sz="0" w:space="0" w:color="auto"/>
        <w:left w:val="none" w:sz="0" w:space="0" w:color="auto"/>
        <w:bottom w:val="none" w:sz="0" w:space="0" w:color="auto"/>
        <w:right w:val="none" w:sz="0" w:space="0" w:color="auto"/>
      </w:divBdr>
      <w:divsChild>
        <w:div w:id="5252617">
          <w:marLeft w:val="0"/>
          <w:marRight w:val="0"/>
          <w:marTop w:val="0"/>
          <w:marBottom w:val="0"/>
          <w:divBdr>
            <w:top w:val="none" w:sz="0" w:space="0" w:color="auto"/>
            <w:left w:val="none" w:sz="0" w:space="0" w:color="auto"/>
            <w:bottom w:val="none" w:sz="0" w:space="0" w:color="auto"/>
            <w:right w:val="none" w:sz="0" w:space="0" w:color="auto"/>
          </w:divBdr>
        </w:div>
        <w:div w:id="736245463">
          <w:marLeft w:val="0"/>
          <w:marRight w:val="0"/>
          <w:marTop w:val="0"/>
          <w:marBottom w:val="0"/>
          <w:divBdr>
            <w:top w:val="none" w:sz="0" w:space="0" w:color="auto"/>
            <w:left w:val="none" w:sz="0" w:space="0" w:color="auto"/>
            <w:bottom w:val="none" w:sz="0" w:space="0" w:color="auto"/>
            <w:right w:val="none" w:sz="0" w:space="0" w:color="auto"/>
          </w:divBdr>
        </w:div>
        <w:div w:id="1998456533">
          <w:marLeft w:val="0"/>
          <w:marRight w:val="0"/>
          <w:marTop w:val="0"/>
          <w:marBottom w:val="0"/>
          <w:divBdr>
            <w:top w:val="none" w:sz="0" w:space="0" w:color="auto"/>
            <w:left w:val="none" w:sz="0" w:space="0" w:color="auto"/>
            <w:bottom w:val="none" w:sz="0" w:space="0" w:color="auto"/>
            <w:right w:val="none" w:sz="0" w:space="0" w:color="auto"/>
          </w:divBdr>
        </w:div>
        <w:div w:id="879437260">
          <w:marLeft w:val="0"/>
          <w:marRight w:val="0"/>
          <w:marTop w:val="0"/>
          <w:marBottom w:val="0"/>
          <w:divBdr>
            <w:top w:val="none" w:sz="0" w:space="0" w:color="auto"/>
            <w:left w:val="none" w:sz="0" w:space="0" w:color="auto"/>
            <w:bottom w:val="none" w:sz="0" w:space="0" w:color="auto"/>
            <w:right w:val="none" w:sz="0" w:space="0" w:color="auto"/>
          </w:divBdr>
        </w:div>
        <w:div w:id="149952558">
          <w:marLeft w:val="0"/>
          <w:marRight w:val="0"/>
          <w:marTop w:val="0"/>
          <w:marBottom w:val="0"/>
          <w:divBdr>
            <w:top w:val="none" w:sz="0" w:space="0" w:color="auto"/>
            <w:left w:val="none" w:sz="0" w:space="0" w:color="auto"/>
            <w:bottom w:val="none" w:sz="0" w:space="0" w:color="auto"/>
            <w:right w:val="none" w:sz="0" w:space="0" w:color="auto"/>
          </w:divBdr>
        </w:div>
        <w:div w:id="516189696">
          <w:marLeft w:val="0"/>
          <w:marRight w:val="0"/>
          <w:marTop w:val="0"/>
          <w:marBottom w:val="0"/>
          <w:divBdr>
            <w:top w:val="none" w:sz="0" w:space="0" w:color="auto"/>
            <w:left w:val="none" w:sz="0" w:space="0" w:color="auto"/>
            <w:bottom w:val="none" w:sz="0" w:space="0" w:color="auto"/>
            <w:right w:val="none" w:sz="0" w:space="0" w:color="auto"/>
          </w:divBdr>
        </w:div>
        <w:div w:id="375160358">
          <w:marLeft w:val="0"/>
          <w:marRight w:val="0"/>
          <w:marTop w:val="0"/>
          <w:marBottom w:val="0"/>
          <w:divBdr>
            <w:top w:val="none" w:sz="0" w:space="0" w:color="auto"/>
            <w:left w:val="none" w:sz="0" w:space="0" w:color="auto"/>
            <w:bottom w:val="none" w:sz="0" w:space="0" w:color="auto"/>
            <w:right w:val="none" w:sz="0" w:space="0" w:color="auto"/>
          </w:divBdr>
        </w:div>
        <w:div w:id="310138126">
          <w:marLeft w:val="0"/>
          <w:marRight w:val="0"/>
          <w:marTop w:val="0"/>
          <w:marBottom w:val="0"/>
          <w:divBdr>
            <w:top w:val="none" w:sz="0" w:space="0" w:color="auto"/>
            <w:left w:val="none" w:sz="0" w:space="0" w:color="auto"/>
            <w:bottom w:val="none" w:sz="0" w:space="0" w:color="auto"/>
            <w:right w:val="none" w:sz="0" w:space="0" w:color="auto"/>
          </w:divBdr>
        </w:div>
      </w:divsChild>
    </w:div>
    <w:div w:id="325716261">
      <w:bodyDiv w:val="1"/>
      <w:marLeft w:val="0"/>
      <w:marRight w:val="0"/>
      <w:marTop w:val="0"/>
      <w:marBottom w:val="0"/>
      <w:divBdr>
        <w:top w:val="none" w:sz="0" w:space="0" w:color="auto"/>
        <w:left w:val="none" w:sz="0" w:space="0" w:color="auto"/>
        <w:bottom w:val="none" w:sz="0" w:space="0" w:color="auto"/>
        <w:right w:val="none" w:sz="0" w:space="0" w:color="auto"/>
      </w:divBdr>
    </w:div>
    <w:div w:id="392001344">
      <w:bodyDiv w:val="1"/>
      <w:marLeft w:val="0"/>
      <w:marRight w:val="0"/>
      <w:marTop w:val="0"/>
      <w:marBottom w:val="0"/>
      <w:divBdr>
        <w:top w:val="none" w:sz="0" w:space="0" w:color="auto"/>
        <w:left w:val="none" w:sz="0" w:space="0" w:color="auto"/>
        <w:bottom w:val="none" w:sz="0" w:space="0" w:color="auto"/>
        <w:right w:val="none" w:sz="0" w:space="0" w:color="auto"/>
      </w:divBdr>
    </w:div>
    <w:div w:id="392703878">
      <w:bodyDiv w:val="1"/>
      <w:marLeft w:val="0"/>
      <w:marRight w:val="0"/>
      <w:marTop w:val="0"/>
      <w:marBottom w:val="0"/>
      <w:divBdr>
        <w:top w:val="none" w:sz="0" w:space="0" w:color="auto"/>
        <w:left w:val="none" w:sz="0" w:space="0" w:color="auto"/>
        <w:bottom w:val="none" w:sz="0" w:space="0" w:color="auto"/>
        <w:right w:val="none" w:sz="0" w:space="0" w:color="auto"/>
      </w:divBdr>
    </w:div>
    <w:div w:id="481507594">
      <w:bodyDiv w:val="1"/>
      <w:marLeft w:val="0"/>
      <w:marRight w:val="0"/>
      <w:marTop w:val="0"/>
      <w:marBottom w:val="0"/>
      <w:divBdr>
        <w:top w:val="none" w:sz="0" w:space="0" w:color="auto"/>
        <w:left w:val="none" w:sz="0" w:space="0" w:color="auto"/>
        <w:bottom w:val="none" w:sz="0" w:space="0" w:color="auto"/>
        <w:right w:val="none" w:sz="0" w:space="0" w:color="auto"/>
      </w:divBdr>
    </w:div>
    <w:div w:id="489909458">
      <w:bodyDiv w:val="1"/>
      <w:marLeft w:val="0"/>
      <w:marRight w:val="0"/>
      <w:marTop w:val="0"/>
      <w:marBottom w:val="0"/>
      <w:divBdr>
        <w:top w:val="none" w:sz="0" w:space="0" w:color="auto"/>
        <w:left w:val="none" w:sz="0" w:space="0" w:color="auto"/>
        <w:bottom w:val="none" w:sz="0" w:space="0" w:color="auto"/>
        <w:right w:val="none" w:sz="0" w:space="0" w:color="auto"/>
      </w:divBdr>
    </w:div>
    <w:div w:id="563956316">
      <w:bodyDiv w:val="1"/>
      <w:marLeft w:val="0"/>
      <w:marRight w:val="0"/>
      <w:marTop w:val="0"/>
      <w:marBottom w:val="0"/>
      <w:divBdr>
        <w:top w:val="none" w:sz="0" w:space="0" w:color="auto"/>
        <w:left w:val="none" w:sz="0" w:space="0" w:color="auto"/>
        <w:bottom w:val="none" w:sz="0" w:space="0" w:color="auto"/>
        <w:right w:val="none" w:sz="0" w:space="0" w:color="auto"/>
      </w:divBdr>
    </w:div>
    <w:div w:id="601687403">
      <w:bodyDiv w:val="1"/>
      <w:marLeft w:val="0"/>
      <w:marRight w:val="0"/>
      <w:marTop w:val="0"/>
      <w:marBottom w:val="0"/>
      <w:divBdr>
        <w:top w:val="none" w:sz="0" w:space="0" w:color="auto"/>
        <w:left w:val="none" w:sz="0" w:space="0" w:color="auto"/>
        <w:bottom w:val="none" w:sz="0" w:space="0" w:color="auto"/>
        <w:right w:val="none" w:sz="0" w:space="0" w:color="auto"/>
      </w:divBdr>
    </w:div>
    <w:div w:id="608437013">
      <w:bodyDiv w:val="1"/>
      <w:marLeft w:val="0"/>
      <w:marRight w:val="0"/>
      <w:marTop w:val="0"/>
      <w:marBottom w:val="0"/>
      <w:divBdr>
        <w:top w:val="none" w:sz="0" w:space="0" w:color="auto"/>
        <w:left w:val="none" w:sz="0" w:space="0" w:color="auto"/>
        <w:bottom w:val="none" w:sz="0" w:space="0" w:color="auto"/>
        <w:right w:val="none" w:sz="0" w:space="0" w:color="auto"/>
      </w:divBdr>
    </w:div>
    <w:div w:id="77464097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7050">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2306">
      <w:bodyDiv w:val="1"/>
      <w:marLeft w:val="0"/>
      <w:marRight w:val="0"/>
      <w:marTop w:val="0"/>
      <w:marBottom w:val="0"/>
      <w:divBdr>
        <w:top w:val="none" w:sz="0" w:space="0" w:color="auto"/>
        <w:left w:val="none" w:sz="0" w:space="0" w:color="auto"/>
        <w:bottom w:val="none" w:sz="0" w:space="0" w:color="auto"/>
        <w:right w:val="none" w:sz="0" w:space="0" w:color="auto"/>
      </w:divBdr>
    </w:div>
    <w:div w:id="1060513979">
      <w:bodyDiv w:val="1"/>
      <w:marLeft w:val="0"/>
      <w:marRight w:val="0"/>
      <w:marTop w:val="0"/>
      <w:marBottom w:val="0"/>
      <w:divBdr>
        <w:top w:val="none" w:sz="0" w:space="0" w:color="auto"/>
        <w:left w:val="none" w:sz="0" w:space="0" w:color="auto"/>
        <w:bottom w:val="none" w:sz="0" w:space="0" w:color="auto"/>
        <w:right w:val="none" w:sz="0" w:space="0" w:color="auto"/>
      </w:divBdr>
    </w:div>
    <w:div w:id="1106655399">
      <w:bodyDiv w:val="1"/>
      <w:marLeft w:val="0"/>
      <w:marRight w:val="0"/>
      <w:marTop w:val="0"/>
      <w:marBottom w:val="0"/>
      <w:divBdr>
        <w:top w:val="none" w:sz="0" w:space="0" w:color="auto"/>
        <w:left w:val="none" w:sz="0" w:space="0" w:color="auto"/>
        <w:bottom w:val="none" w:sz="0" w:space="0" w:color="auto"/>
        <w:right w:val="none" w:sz="0" w:space="0" w:color="auto"/>
      </w:divBdr>
    </w:div>
    <w:div w:id="1197229337">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7838369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8331">
      <w:bodyDiv w:val="1"/>
      <w:marLeft w:val="0"/>
      <w:marRight w:val="0"/>
      <w:marTop w:val="0"/>
      <w:marBottom w:val="0"/>
      <w:divBdr>
        <w:top w:val="none" w:sz="0" w:space="0" w:color="auto"/>
        <w:left w:val="none" w:sz="0" w:space="0" w:color="auto"/>
        <w:bottom w:val="none" w:sz="0" w:space="0" w:color="auto"/>
        <w:right w:val="none" w:sz="0" w:space="0" w:color="auto"/>
      </w:divBdr>
    </w:div>
    <w:div w:id="1714963362">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72437430">
      <w:bodyDiv w:val="1"/>
      <w:marLeft w:val="0"/>
      <w:marRight w:val="0"/>
      <w:marTop w:val="0"/>
      <w:marBottom w:val="0"/>
      <w:divBdr>
        <w:top w:val="none" w:sz="0" w:space="0" w:color="auto"/>
        <w:left w:val="none" w:sz="0" w:space="0" w:color="auto"/>
        <w:bottom w:val="none" w:sz="0" w:space="0" w:color="auto"/>
        <w:right w:val="none" w:sz="0" w:space="0" w:color="auto"/>
      </w:divBdr>
    </w:div>
    <w:div w:id="1879780173">
      <w:bodyDiv w:val="1"/>
      <w:marLeft w:val="0"/>
      <w:marRight w:val="0"/>
      <w:marTop w:val="0"/>
      <w:marBottom w:val="0"/>
      <w:divBdr>
        <w:top w:val="none" w:sz="0" w:space="0" w:color="auto"/>
        <w:left w:val="none" w:sz="0" w:space="0" w:color="auto"/>
        <w:bottom w:val="none" w:sz="0" w:space="0" w:color="auto"/>
        <w:right w:val="none" w:sz="0" w:space="0" w:color="auto"/>
      </w:divBdr>
    </w:div>
    <w:div w:id="2006663768">
      <w:bodyDiv w:val="1"/>
      <w:marLeft w:val="0"/>
      <w:marRight w:val="0"/>
      <w:marTop w:val="0"/>
      <w:marBottom w:val="0"/>
      <w:divBdr>
        <w:top w:val="none" w:sz="0" w:space="0" w:color="auto"/>
        <w:left w:val="none" w:sz="0" w:space="0" w:color="auto"/>
        <w:bottom w:val="none" w:sz="0" w:space="0" w:color="auto"/>
        <w:right w:val="none" w:sz="0" w:space="0" w:color="auto"/>
      </w:divBdr>
      <w:divsChild>
        <w:div w:id="37778671">
          <w:marLeft w:val="0"/>
          <w:marRight w:val="0"/>
          <w:marTop w:val="0"/>
          <w:marBottom w:val="0"/>
          <w:divBdr>
            <w:top w:val="none" w:sz="0" w:space="0" w:color="auto"/>
            <w:left w:val="none" w:sz="0" w:space="0" w:color="auto"/>
            <w:bottom w:val="none" w:sz="0" w:space="0" w:color="auto"/>
            <w:right w:val="none" w:sz="0" w:space="0" w:color="auto"/>
          </w:divBdr>
        </w:div>
        <w:div w:id="326401088">
          <w:marLeft w:val="0"/>
          <w:marRight w:val="0"/>
          <w:marTop w:val="0"/>
          <w:marBottom w:val="0"/>
          <w:divBdr>
            <w:top w:val="none" w:sz="0" w:space="0" w:color="auto"/>
            <w:left w:val="none" w:sz="0" w:space="0" w:color="auto"/>
            <w:bottom w:val="none" w:sz="0" w:space="0" w:color="auto"/>
            <w:right w:val="none" w:sz="0" w:space="0" w:color="auto"/>
          </w:divBdr>
        </w:div>
        <w:div w:id="1275946682">
          <w:marLeft w:val="0"/>
          <w:marRight w:val="0"/>
          <w:marTop w:val="0"/>
          <w:marBottom w:val="0"/>
          <w:divBdr>
            <w:top w:val="none" w:sz="0" w:space="0" w:color="auto"/>
            <w:left w:val="none" w:sz="0" w:space="0" w:color="auto"/>
            <w:bottom w:val="none" w:sz="0" w:space="0" w:color="auto"/>
            <w:right w:val="none" w:sz="0" w:space="0" w:color="auto"/>
          </w:divBdr>
        </w:div>
        <w:div w:id="139854066">
          <w:marLeft w:val="0"/>
          <w:marRight w:val="0"/>
          <w:marTop w:val="0"/>
          <w:marBottom w:val="0"/>
          <w:divBdr>
            <w:top w:val="none" w:sz="0" w:space="0" w:color="auto"/>
            <w:left w:val="none" w:sz="0" w:space="0" w:color="auto"/>
            <w:bottom w:val="none" w:sz="0" w:space="0" w:color="auto"/>
            <w:right w:val="none" w:sz="0" w:space="0" w:color="auto"/>
          </w:divBdr>
        </w:div>
        <w:div w:id="1294870189">
          <w:marLeft w:val="0"/>
          <w:marRight w:val="0"/>
          <w:marTop w:val="0"/>
          <w:marBottom w:val="0"/>
          <w:divBdr>
            <w:top w:val="none" w:sz="0" w:space="0" w:color="auto"/>
            <w:left w:val="none" w:sz="0" w:space="0" w:color="auto"/>
            <w:bottom w:val="none" w:sz="0" w:space="0" w:color="auto"/>
            <w:right w:val="none" w:sz="0" w:space="0" w:color="auto"/>
          </w:divBdr>
        </w:div>
        <w:div w:id="1363096362">
          <w:marLeft w:val="0"/>
          <w:marRight w:val="0"/>
          <w:marTop w:val="0"/>
          <w:marBottom w:val="0"/>
          <w:divBdr>
            <w:top w:val="none" w:sz="0" w:space="0" w:color="auto"/>
            <w:left w:val="none" w:sz="0" w:space="0" w:color="auto"/>
            <w:bottom w:val="none" w:sz="0" w:space="0" w:color="auto"/>
            <w:right w:val="none" w:sz="0" w:space="0" w:color="auto"/>
          </w:divBdr>
        </w:div>
        <w:div w:id="1932666049">
          <w:marLeft w:val="0"/>
          <w:marRight w:val="0"/>
          <w:marTop w:val="0"/>
          <w:marBottom w:val="0"/>
          <w:divBdr>
            <w:top w:val="none" w:sz="0" w:space="0" w:color="auto"/>
            <w:left w:val="none" w:sz="0" w:space="0" w:color="auto"/>
            <w:bottom w:val="none" w:sz="0" w:space="0" w:color="auto"/>
            <w:right w:val="none" w:sz="0" w:space="0" w:color="auto"/>
          </w:divBdr>
        </w:div>
        <w:div w:id="265429144">
          <w:marLeft w:val="0"/>
          <w:marRight w:val="0"/>
          <w:marTop w:val="0"/>
          <w:marBottom w:val="0"/>
          <w:divBdr>
            <w:top w:val="none" w:sz="0" w:space="0" w:color="auto"/>
            <w:left w:val="none" w:sz="0" w:space="0" w:color="auto"/>
            <w:bottom w:val="none" w:sz="0" w:space="0" w:color="auto"/>
            <w:right w:val="none" w:sz="0" w:space="0" w:color="auto"/>
          </w:divBdr>
        </w:div>
      </w:divsChild>
    </w:div>
    <w:div w:id="2060398832">
      <w:bodyDiv w:val="1"/>
      <w:marLeft w:val="0"/>
      <w:marRight w:val="0"/>
      <w:marTop w:val="0"/>
      <w:marBottom w:val="0"/>
      <w:divBdr>
        <w:top w:val="none" w:sz="0" w:space="0" w:color="auto"/>
        <w:left w:val="none" w:sz="0" w:space="0" w:color="auto"/>
        <w:bottom w:val="none" w:sz="0" w:space="0" w:color="auto"/>
        <w:right w:val="none" w:sz="0" w:space="0" w:color="auto"/>
      </w:divBdr>
    </w:div>
    <w:div w:id="208394150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2649169">
      <w:bodyDiv w:val="1"/>
      <w:marLeft w:val="0"/>
      <w:marRight w:val="0"/>
      <w:marTop w:val="0"/>
      <w:marBottom w:val="0"/>
      <w:divBdr>
        <w:top w:val="none" w:sz="0" w:space="0" w:color="auto"/>
        <w:left w:val="none" w:sz="0" w:space="0" w:color="auto"/>
        <w:bottom w:val="none" w:sz="0" w:space="0" w:color="auto"/>
        <w:right w:val="none" w:sz="0" w:space="0" w:color="auto"/>
      </w:divBdr>
      <w:divsChild>
        <w:div w:id="1151825126">
          <w:marLeft w:val="0"/>
          <w:marRight w:val="0"/>
          <w:marTop w:val="0"/>
          <w:marBottom w:val="0"/>
          <w:divBdr>
            <w:top w:val="none" w:sz="0" w:space="0" w:color="auto"/>
            <w:left w:val="none" w:sz="0" w:space="0" w:color="auto"/>
            <w:bottom w:val="none" w:sz="0" w:space="0" w:color="auto"/>
            <w:right w:val="none" w:sz="0" w:space="0" w:color="auto"/>
          </w:divBdr>
        </w:div>
        <w:div w:id="1191450294">
          <w:marLeft w:val="0"/>
          <w:marRight w:val="0"/>
          <w:marTop w:val="0"/>
          <w:marBottom w:val="0"/>
          <w:divBdr>
            <w:top w:val="none" w:sz="0" w:space="0" w:color="auto"/>
            <w:left w:val="none" w:sz="0" w:space="0" w:color="auto"/>
            <w:bottom w:val="none" w:sz="0" w:space="0" w:color="auto"/>
            <w:right w:val="none" w:sz="0" w:space="0" w:color="auto"/>
          </w:divBdr>
        </w:div>
        <w:div w:id="1218736882">
          <w:marLeft w:val="0"/>
          <w:marRight w:val="0"/>
          <w:marTop w:val="0"/>
          <w:marBottom w:val="0"/>
          <w:divBdr>
            <w:top w:val="none" w:sz="0" w:space="0" w:color="auto"/>
            <w:left w:val="none" w:sz="0" w:space="0" w:color="auto"/>
            <w:bottom w:val="none" w:sz="0" w:space="0" w:color="auto"/>
            <w:right w:val="none" w:sz="0" w:space="0" w:color="auto"/>
          </w:divBdr>
        </w:div>
        <w:div w:id="1242713897">
          <w:marLeft w:val="0"/>
          <w:marRight w:val="0"/>
          <w:marTop w:val="0"/>
          <w:marBottom w:val="0"/>
          <w:divBdr>
            <w:top w:val="none" w:sz="0" w:space="0" w:color="auto"/>
            <w:left w:val="none" w:sz="0" w:space="0" w:color="auto"/>
            <w:bottom w:val="none" w:sz="0" w:space="0" w:color="auto"/>
            <w:right w:val="none" w:sz="0" w:space="0" w:color="auto"/>
          </w:divBdr>
        </w:div>
        <w:div w:id="13508623">
          <w:marLeft w:val="0"/>
          <w:marRight w:val="0"/>
          <w:marTop w:val="0"/>
          <w:marBottom w:val="0"/>
          <w:divBdr>
            <w:top w:val="none" w:sz="0" w:space="0" w:color="auto"/>
            <w:left w:val="none" w:sz="0" w:space="0" w:color="auto"/>
            <w:bottom w:val="none" w:sz="0" w:space="0" w:color="auto"/>
            <w:right w:val="none" w:sz="0" w:space="0" w:color="auto"/>
          </w:divBdr>
        </w:div>
        <w:div w:id="29452389">
          <w:marLeft w:val="0"/>
          <w:marRight w:val="0"/>
          <w:marTop w:val="0"/>
          <w:marBottom w:val="0"/>
          <w:divBdr>
            <w:top w:val="none" w:sz="0" w:space="0" w:color="auto"/>
            <w:left w:val="none" w:sz="0" w:space="0" w:color="auto"/>
            <w:bottom w:val="none" w:sz="0" w:space="0" w:color="auto"/>
            <w:right w:val="none" w:sz="0" w:space="0" w:color="auto"/>
          </w:divBdr>
        </w:div>
        <w:div w:id="205217045">
          <w:marLeft w:val="0"/>
          <w:marRight w:val="0"/>
          <w:marTop w:val="0"/>
          <w:marBottom w:val="0"/>
          <w:divBdr>
            <w:top w:val="none" w:sz="0" w:space="0" w:color="auto"/>
            <w:left w:val="none" w:sz="0" w:space="0" w:color="auto"/>
            <w:bottom w:val="none" w:sz="0" w:space="0" w:color="auto"/>
            <w:right w:val="none" w:sz="0" w:space="0" w:color="auto"/>
          </w:divBdr>
        </w:div>
        <w:div w:id="69159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08B8F-C957-42FF-B8A0-CD53A2D8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6933</Words>
  <Characters>38136</Characters>
  <Application>Microsoft Office Word</Application>
  <DocSecurity>0</DocSecurity>
  <Lines>317</Lines>
  <Paragraphs>89</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marco mason</cp:lastModifiedBy>
  <cp:revision>2</cp:revision>
  <cp:lastPrinted>2015-05-12T18:31:00Z</cp:lastPrinted>
  <dcterms:created xsi:type="dcterms:W3CDTF">2025-03-06T20:10:00Z</dcterms:created>
  <dcterms:modified xsi:type="dcterms:W3CDTF">2025-03-06T20:10:00Z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d20d4134-8330-3129-874d-ad80fb9a101a</vt:lpwstr>
  </property>
  <property fmtid="{D5CDD505-2E9C-101B-9397-08002B2CF9AE}" pid="6" name="Mendeley Citation Style_1">
    <vt:lpwstr>http://www.zotero.org/styles/harvard-cite-them-right</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11th edition - Harvard</vt:lpwstr>
  </property>
  <property fmtid="{D5CDD505-2E9C-101B-9397-08002B2CF9AE}" pid="17" name="Mendeley Recent Style Id 5_1">
    <vt:lpwstr>http://www.zotero.org/styles/harvard1</vt:lpwstr>
  </property>
  <property fmtid="{D5CDD505-2E9C-101B-9397-08002B2CF9AE}" pid="18" name="Mendeley Recent Style Name 5_1">
    <vt:lpwstr>Harvard reference format 1 (deprecated)</vt:lpwstr>
  </property>
  <property fmtid="{D5CDD505-2E9C-101B-9397-08002B2CF9AE}" pid="19" name="Mendeley Recent Style Id 6_1">
    <vt:lpwstr>http://www.zotero.org/styles/iso690-author-date-es</vt:lpwstr>
  </property>
  <property fmtid="{D5CDD505-2E9C-101B-9397-08002B2CF9AE}" pid="20" name="Mendeley Recent Style Name 6_1">
    <vt:lpwstr>ISO-690 (author-date, Español)</vt:lpwstr>
  </property>
  <property fmtid="{D5CDD505-2E9C-101B-9397-08002B2CF9AE}" pid="21" name="Mendeley Recent Style Id 7_1">
    <vt:lpwstr>http://www.zotero.org/styles/iso690-numeric-en</vt:lpwstr>
  </property>
  <property fmtid="{D5CDD505-2E9C-101B-9397-08002B2CF9AE}" pid="22" name="Mendeley Recent Style Name 7_1">
    <vt:lpwstr>ISO-690 (numeric, English)</vt:lpwstr>
  </property>
  <property fmtid="{D5CDD505-2E9C-101B-9397-08002B2CF9AE}" pid="23" name="Mendeley Recent Style Id 8_1">
    <vt:lpwstr>http://www.zotero.org/styles/modern-humanities-research-association</vt:lpwstr>
  </property>
  <property fmtid="{D5CDD505-2E9C-101B-9397-08002B2CF9AE}" pid="24" name="Mendeley Recent Style Name 8_1">
    <vt:lpwstr>Modern Humanities Research Association 3rd edition (note with bibliography)</vt:lpwstr>
  </property>
  <property fmtid="{D5CDD505-2E9C-101B-9397-08002B2CF9AE}" pid="25" name="Mendeley Recent Style Id 9_1">
    <vt:lpwstr>http://www.zotero.org/styles/modern-language-association</vt:lpwstr>
  </property>
  <property fmtid="{D5CDD505-2E9C-101B-9397-08002B2CF9AE}" pid="26" name="Mendeley Recent Style Name 9_1">
    <vt:lpwstr>Modern Language Association 9th edition</vt:lpwstr>
  </property>
</Properties>
</file>